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A3DF" w14:textId="77777777" w:rsidR="00BB6C14" w:rsidRDefault="00BB6C14"/>
    <w:p w14:paraId="53B1A3E0" w14:textId="77777777" w:rsidR="00BB6C14" w:rsidRDefault="00507FC2">
      <w:pPr>
        <w:spacing w:after="0"/>
        <w:jc w:val="center"/>
        <w:rPr>
          <w:b/>
          <w:sz w:val="24"/>
          <w:szCs w:val="24"/>
          <w:lang w:val="lv-LV"/>
        </w:rPr>
      </w:pPr>
      <w:r>
        <w:rPr>
          <w:b/>
          <w:sz w:val="24"/>
          <w:szCs w:val="24"/>
          <w:lang w:val="lv-LV"/>
        </w:rPr>
        <w:t>REGLAMENTS</w:t>
      </w:r>
    </w:p>
    <w:p w14:paraId="53B1A3E1" w14:textId="77777777" w:rsidR="00BB6C14" w:rsidRDefault="00507FC2">
      <w:pPr>
        <w:spacing w:after="0"/>
        <w:jc w:val="center"/>
        <w:rPr>
          <w:sz w:val="24"/>
          <w:szCs w:val="20"/>
          <w:lang w:val="lv-LV"/>
        </w:rPr>
      </w:pPr>
      <w:r>
        <w:rPr>
          <w:sz w:val="24"/>
          <w:szCs w:val="20"/>
          <w:lang w:val="lv-LV"/>
        </w:rPr>
        <w:t>Rīgā</w:t>
      </w:r>
    </w:p>
    <w:p w14:paraId="53B1A3E2" w14:textId="77777777" w:rsidR="00BB6C14" w:rsidRDefault="00BB6C14">
      <w:pPr>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395"/>
        <w:gridCol w:w="2126"/>
      </w:tblGrid>
      <w:tr w:rsidR="00BB6C14" w14:paraId="53B1A3E6" w14:textId="77777777">
        <w:tc>
          <w:tcPr>
            <w:tcW w:w="2268" w:type="dxa"/>
            <w:tcBorders>
              <w:bottom w:val="single" w:sz="4" w:space="0" w:color="auto"/>
            </w:tcBorders>
          </w:tcPr>
          <w:p w14:paraId="53B1A3E3" w14:textId="77777777" w:rsidR="00BB6C14" w:rsidRDefault="00507FC2">
            <w:pPr>
              <w:spacing w:before="360" w:after="0"/>
              <w:rPr>
                <w:sz w:val="24"/>
                <w:szCs w:val="24"/>
                <w:lang w:val="lv-LV"/>
              </w:rPr>
            </w:pPr>
            <w:r>
              <w:rPr>
                <w:rFonts w:eastAsia="Times New Roman"/>
                <w:sz w:val="24"/>
                <w:szCs w:val="24"/>
                <w:lang w:val="lv-LV" w:eastAsia="lv-LV"/>
              </w:rPr>
              <w:t xml:space="preserve">  </w:t>
            </w:r>
            <w:r>
              <w:t>19.06.2026</w:t>
            </w:r>
            <w:r>
              <w:rPr>
                <w:rFonts w:eastAsia="Times New Roman"/>
                <w:sz w:val="24"/>
                <w:szCs w:val="24"/>
                <w:lang w:val="lv-LV" w:eastAsia="lv-LV"/>
              </w:rPr>
              <w:t xml:space="preserve">. </w:t>
            </w:r>
          </w:p>
        </w:tc>
        <w:tc>
          <w:tcPr>
            <w:tcW w:w="4395" w:type="dxa"/>
          </w:tcPr>
          <w:p w14:paraId="53B1A3E4" w14:textId="77777777" w:rsidR="00BB6C14" w:rsidRDefault="00507FC2">
            <w:pPr>
              <w:spacing w:before="360" w:after="0"/>
              <w:jc w:val="right"/>
              <w:rPr>
                <w:sz w:val="24"/>
                <w:szCs w:val="24"/>
                <w:lang w:val="lv-LV"/>
              </w:rPr>
            </w:pPr>
            <w:r>
              <w:rPr>
                <w:sz w:val="24"/>
                <w:szCs w:val="24"/>
                <w:lang w:val="lv-LV"/>
              </w:rPr>
              <w:t>Nr.</w:t>
            </w:r>
          </w:p>
        </w:tc>
        <w:tc>
          <w:tcPr>
            <w:tcW w:w="2126" w:type="dxa"/>
            <w:tcBorders>
              <w:bottom w:val="single" w:sz="4" w:space="0" w:color="auto"/>
            </w:tcBorders>
          </w:tcPr>
          <w:p w14:paraId="53B1A3E5" w14:textId="77777777" w:rsidR="00BB6C14" w:rsidRDefault="00507FC2">
            <w:pPr>
              <w:spacing w:before="360" w:after="0"/>
              <w:rPr>
                <w:sz w:val="24"/>
                <w:szCs w:val="24"/>
                <w:lang w:val="lv-LV"/>
              </w:rPr>
            </w:pPr>
            <w:r>
              <w:rPr>
                <w:rFonts w:eastAsia="Times New Roman"/>
                <w:sz w:val="24"/>
                <w:szCs w:val="24"/>
                <w:lang w:val="lv-LV" w:eastAsia="lv-LV"/>
              </w:rPr>
              <w:t xml:space="preserve">  </w:t>
            </w:r>
            <w:r>
              <w:t>1-2/7</w:t>
            </w:r>
            <w:r>
              <w:rPr>
                <w:rFonts w:eastAsia="Times New Roman"/>
                <w:sz w:val="24"/>
                <w:szCs w:val="24"/>
                <w:lang w:val="lv-LV" w:eastAsia="lv-LV"/>
              </w:rPr>
              <w:t xml:space="preserve"> </w:t>
            </w:r>
          </w:p>
        </w:tc>
      </w:tr>
    </w:tbl>
    <w:p w14:paraId="53B1A3E7" w14:textId="77777777" w:rsidR="00BB6C14" w:rsidRDefault="00BB6C14">
      <w:pPr>
        <w:spacing w:after="0" w:line="240" w:lineRule="auto"/>
        <w:jc w:val="both"/>
        <w:rPr>
          <w:sz w:val="24"/>
          <w:szCs w:val="24"/>
          <w:lang w:eastAsia="lv-LV"/>
        </w:rPr>
      </w:pPr>
    </w:p>
    <w:p w14:paraId="53B1A3E8" w14:textId="77777777" w:rsidR="00BB6C14" w:rsidRDefault="00BB6C14">
      <w:pPr>
        <w:spacing w:after="0" w:line="240" w:lineRule="auto"/>
        <w:jc w:val="both"/>
        <w:rPr>
          <w:sz w:val="24"/>
          <w:szCs w:val="24"/>
          <w:lang w:eastAsia="lv-LV"/>
        </w:rPr>
      </w:pPr>
    </w:p>
    <w:p w14:paraId="53B1A3E9" w14:textId="77777777" w:rsidR="00BB6C14" w:rsidRDefault="00507FC2">
      <w:pPr>
        <w:pStyle w:val="Bezatstarpm2"/>
        <w:jc w:val="center"/>
        <w:rPr>
          <w:rFonts w:ascii="Times New Roman" w:hAnsi="Times New Roman"/>
          <w:b/>
          <w:bCs/>
          <w:color w:val="000000"/>
          <w:sz w:val="24"/>
          <w:szCs w:val="24"/>
          <w:lang w:val="lv-LV" w:eastAsia="lv-LV"/>
        </w:rPr>
      </w:pPr>
      <w:r>
        <w:rPr>
          <w:rFonts w:ascii="Times New Roman" w:hAnsi="Times New Roman"/>
          <w:b/>
          <w:bCs/>
          <w:color w:val="000000"/>
          <w:sz w:val="24"/>
          <w:szCs w:val="24"/>
          <w:lang w:val="lv-LV" w:eastAsia="lv-LV"/>
        </w:rPr>
        <w:t>Patentu valdes reglaments</w:t>
      </w:r>
    </w:p>
    <w:p w14:paraId="53B1A3EA" w14:textId="77777777" w:rsidR="00BB6C14" w:rsidRDefault="00BB6C14">
      <w:pPr>
        <w:pStyle w:val="Bezatstarpm2"/>
        <w:jc w:val="right"/>
        <w:rPr>
          <w:rFonts w:ascii="Times New Roman" w:hAnsi="Times New Roman"/>
          <w:color w:val="000000"/>
          <w:sz w:val="24"/>
          <w:szCs w:val="24"/>
          <w:lang w:val="lv-LV" w:eastAsia="lv-LV"/>
        </w:rPr>
      </w:pPr>
    </w:p>
    <w:p w14:paraId="53B1A3EB" w14:textId="77777777" w:rsidR="00BB6C14" w:rsidRDefault="00BB6C14">
      <w:pPr>
        <w:pStyle w:val="Bezatstarpm2"/>
        <w:jc w:val="right"/>
        <w:rPr>
          <w:rFonts w:ascii="Times New Roman" w:hAnsi="Times New Roman"/>
          <w:color w:val="000000"/>
          <w:sz w:val="24"/>
          <w:szCs w:val="24"/>
          <w:lang w:val="lv-LV" w:eastAsia="lv-LV"/>
        </w:rPr>
      </w:pPr>
    </w:p>
    <w:p w14:paraId="53B1A3EC" w14:textId="77777777" w:rsidR="00BB6C14" w:rsidRDefault="00507FC2">
      <w:pPr>
        <w:pStyle w:val="Bezatstarpm2"/>
        <w:jc w:val="right"/>
        <w:rPr>
          <w:rFonts w:ascii="Times New Roman" w:hAnsi="Times New Roman"/>
          <w:color w:val="000000"/>
          <w:sz w:val="24"/>
          <w:szCs w:val="24"/>
          <w:lang w:val="lv-LV" w:eastAsia="lv-LV"/>
        </w:rPr>
      </w:pPr>
      <w:r>
        <w:rPr>
          <w:rFonts w:ascii="Times New Roman" w:hAnsi="Times New Roman"/>
          <w:color w:val="000000"/>
          <w:sz w:val="24"/>
          <w:szCs w:val="24"/>
          <w:lang w:val="lv-LV" w:eastAsia="lv-LV"/>
        </w:rPr>
        <w:t>Izdots saskaņā ar</w:t>
      </w:r>
    </w:p>
    <w:p w14:paraId="53B1A3ED" w14:textId="77777777" w:rsidR="00BB6C14" w:rsidRDefault="00507FC2">
      <w:pPr>
        <w:pStyle w:val="Bezatstarpm2"/>
        <w:jc w:val="right"/>
        <w:rPr>
          <w:rFonts w:ascii="Times New Roman" w:hAnsi="Times New Roman"/>
          <w:color w:val="000000"/>
          <w:sz w:val="24"/>
          <w:szCs w:val="24"/>
          <w:lang w:val="lv-LV" w:eastAsia="lv-LV"/>
        </w:rPr>
      </w:pPr>
      <w:r>
        <w:rPr>
          <w:rFonts w:ascii="Times New Roman" w:hAnsi="Times New Roman"/>
          <w:color w:val="000000"/>
          <w:sz w:val="24"/>
          <w:szCs w:val="24"/>
          <w:lang w:val="lv-LV" w:eastAsia="lv-LV"/>
        </w:rPr>
        <w:t>Valsts pārvaldes iekārtas likuma</w:t>
      </w:r>
    </w:p>
    <w:p w14:paraId="53B1A3EE" w14:textId="77777777" w:rsidR="00BB6C14" w:rsidRDefault="00507FC2">
      <w:pPr>
        <w:pStyle w:val="Bezatstarpm2"/>
        <w:jc w:val="right"/>
        <w:rPr>
          <w:rFonts w:ascii="Times New Roman" w:hAnsi="Times New Roman"/>
          <w:color w:val="000000"/>
          <w:sz w:val="24"/>
          <w:szCs w:val="24"/>
          <w:lang w:val="lv-LV" w:eastAsia="lv-LV"/>
        </w:rPr>
      </w:pPr>
      <w:r>
        <w:rPr>
          <w:rFonts w:ascii="Times New Roman" w:hAnsi="Times New Roman"/>
          <w:color w:val="000000"/>
          <w:sz w:val="24"/>
          <w:szCs w:val="24"/>
          <w:lang w:val="lv-LV" w:eastAsia="lv-LV"/>
        </w:rPr>
        <w:t>75. panta pirmo daļu</w:t>
      </w:r>
    </w:p>
    <w:p w14:paraId="53B1A3EF" w14:textId="77777777" w:rsidR="00BB6C14" w:rsidRDefault="00BB6C14">
      <w:pPr>
        <w:pStyle w:val="Bezatstarpm2"/>
        <w:rPr>
          <w:rFonts w:ascii="Times New Roman" w:hAnsi="Times New Roman"/>
          <w:b/>
          <w:bCs/>
          <w:color w:val="000000"/>
          <w:sz w:val="24"/>
          <w:szCs w:val="24"/>
          <w:lang w:val="lv-LV" w:eastAsia="lv-LV"/>
        </w:rPr>
      </w:pPr>
    </w:p>
    <w:p w14:paraId="53B1A3F0" w14:textId="77777777" w:rsidR="00BB6C14" w:rsidRDefault="00507FC2">
      <w:pPr>
        <w:pStyle w:val="Bezatstarpm2"/>
        <w:jc w:val="center"/>
        <w:rPr>
          <w:rFonts w:ascii="Times New Roman" w:hAnsi="Times New Roman"/>
          <w:b/>
          <w:bCs/>
          <w:color w:val="000000"/>
          <w:sz w:val="24"/>
          <w:szCs w:val="24"/>
          <w:lang w:val="lv-LV" w:eastAsia="lv-LV"/>
        </w:rPr>
      </w:pPr>
      <w:r>
        <w:rPr>
          <w:rFonts w:ascii="Times New Roman" w:hAnsi="Times New Roman"/>
          <w:b/>
          <w:bCs/>
          <w:color w:val="000000"/>
          <w:sz w:val="24"/>
          <w:szCs w:val="24"/>
          <w:lang w:val="lv-LV" w:eastAsia="lv-LV"/>
        </w:rPr>
        <w:t>I. Vispārīgais jautājums</w:t>
      </w:r>
    </w:p>
    <w:p w14:paraId="53B1A3F1" w14:textId="77777777" w:rsidR="00BB6C14" w:rsidRDefault="00BB6C14">
      <w:pPr>
        <w:pStyle w:val="Bezatstarpm2"/>
        <w:jc w:val="center"/>
        <w:rPr>
          <w:rFonts w:ascii="Times New Roman" w:hAnsi="Times New Roman"/>
          <w:b/>
          <w:bCs/>
          <w:color w:val="000000"/>
          <w:sz w:val="24"/>
          <w:szCs w:val="24"/>
          <w:lang w:val="lv-LV" w:eastAsia="lv-LV"/>
        </w:rPr>
      </w:pPr>
    </w:p>
    <w:p w14:paraId="53B1A3F2"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 Reglaments nosaka Patentu valdes struktūru, darba organizāciju un struktūrvienību kompetenci.</w:t>
      </w:r>
    </w:p>
    <w:p w14:paraId="53B1A3F3" w14:textId="77777777" w:rsidR="00BB6C14" w:rsidRDefault="00BB6C14">
      <w:pPr>
        <w:pStyle w:val="Bezatstarpm2"/>
        <w:jc w:val="center"/>
        <w:rPr>
          <w:rFonts w:ascii="Times New Roman" w:hAnsi="Times New Roman"/>
          <w:b/>
          <w:bCs/>
          <w:color w:val="000000"/>
          <w:sz w:val="24"/>
          <w:szCs w:val="24"/>
          <w:lang w:val="lv-LV" w:eastAsia="lv-LV"/>
        </w:rPr>
      </w:pPr>
    </w:p>
    <w:p w14:paraId="53B1A3F4" w14:textId="77777777" w:rsidR="00BB6C14" w:rsidRDefault="00507FC2">
      <w:pPr>
        <w:pStyle w:val="Bezatstarpm2"/>
        <w:jc w:val="center"/>
        <w:rPr>
          <w:rFonts w:ascii="Times New Roman" w:hAnsi="Times New Roman"/>
          <w:b/>
          <w:bCs/>
          <w:color w:val="000000"/>
          <w:sz w:val="24"/>
          <w:szCs w:val="24"/>
          <w:lang w:val="lv-LV" w:eastAsia="lv-LV"/>
        </w:rPr>
      </w:pPr>
      <w:r>
        <w:rPr>
          <w:rFonts w:ascii="Times New Roman" w:hAnsi="Times New Roman"/>
          <w:b/>
          <w:bCs/>
          <w:color w:val="000000"/>
          <w:sz w:val="24"/>
          <w:szCs w:val="24"/>
          <w:lang w:val="lv-LV" w:eastAsia="lv-LV"/>
        </w:rPr>
        <w:t>II. Patentu valdes struktūra</w:t>
      </w:r>
    </w:p>
    <w:p w14:paraId="53B1A3F5" w14:textId="77777777" w:rsidR="00BB6C14" w:rsidRDefault="00BB6C14">
      <w:pPr>
        <w:pStyle w:val="Bezatstarpm2"/>
        <w:jc w:val="center"/>
        <w:rPr>
          <w:rFonts w:ascii="Times New Roman" w:hAnsi="Times New Roman"/>
          <w:b/>
          <w:bCs/>
          <w:color w:val="000000"/>
          <w:sz w:val="24"/>
          <w:szCs w:val="24"/>
          <w:lang w:val="lv-LV" w:eastAsia="lv-LV"/>
        </w:rPr>
      </w:pPr>
    </w:p>
    <w:p w14:paraId="53B1A3F6" w14:textId="77777777" w:rsidR="00BB6C14" w:rsidRDefault="00507FC2">
      <w:pPr>
        <w:pStyle w:val="Bezatstarpm2"/>
        <w:ind w:firstLine="720"/>
        <w:jc w:val="both"/>
        <w:rPr>
          <w:rFonts w:ascii="Times New Roman" w:hAnsi="Times New Roman"/>
          <w:strike/>
          <w:color w:val="000000"/>
          <w:sz w:val="24"/>
          <w:szCs w:val="24"/>
          <w:lang w:val="lv-LV" w:eastAsia="lv-LV"/>
        </w:rPr>
      </w:pPr>
      <w:r>
        <w:rPr>
          <w:rFonts w:ascii="Times New Roman" w:hAnsi="Times New Roman"/>
          <w:color w:val="000000"/>
          <w:sz w:val="24"/>
          <w:szCs w:val="24"/>
          <w:lang w:val="lv-LV" w:eastAsia="lv-LV"/>
        </w:rPr>
        <w:t>2. Patentu valdes struktūru nosaka šajā reglamentā, struktūrvienību reglamentos un Patentu valdes amatu sarakstā.</w:t>
      </w:r>
    </w:p>
    <w:p w14:paraId="53B1A3F7" w14:textId="77777777" w:rsidR="00BB6C14" w:rsidRDefault="00BB6C14">
      <w:pPr>
        <w:pStyle w:val="Bezatstarpm2"/>
        <w:ind w:firstLine="720"/>
        <w:jc w:val="both"/>
        <w:rPr>
          <w:rFonts w:ascii="Times New Roman" w:hAnsi="Times New Roman"/>
          <w:color w:val="000000"/>
          <w:sz w:val="24"/>
          <w:szCs w:val="24"/>
          <w:lang w:val="lv-LV" w:eastAsia="lv-LV"/>
        </w:rPr>
      </w:pPr>
    </w:p>
    <w:p w14:paraId="53B1A3F8"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 xml:space="preserve">3. Patentu valdes darbu vada Patentu valdes direktors (turpmāk – direktors). </w:t>
      </w:r>
    </w:p>
    <w:p w14:paraId="53B1A3F9" w14:textId="77777777" w:rsidR="00BB6C14" w:rsidRDefault="00BB6C14">
      <w:pPr>
        <w:pStyle w:val="Bezatstarpm2"/>
        <w:ind w:firstLine="720"/>
        <w:jc w:val="both"/>
        <w:rPr>
          <w:rFonts w:ascii="Times New Roman" w:hAnsi="Times New Roman"/>
          <w:color w:val="000000"/>
          <w:sz w:val="24"/>
          <w:szCs w:val="24"/>
          <w:lang w:val="lv-LV" w:eastAsia="lv-LV"/>
        </w:rPr>
      </w:pPr>
    </w:p>
    <w:p w14:paraId="53B1A3FA" w14:textId="77777777" w:rsidR="00BB6C14" w:rsidRDefault="00507FC2">
      <w:pPr>
        <w:pStyle w:val="Bezatstarpm2"/>
        <w:ind w:firstLine="720"/>
        <w:jc w:val="both"/>
        <w:rPr>
          <w:lang w:val="lv-LV"/>
        </w:rPr>
      </w:pPr>
      <w:r>
        <w:rPr>
          <w:rFonts w:ascii="Times New Roman" w:hAnsi="Times New Roman"/>
          <w:color w:val="000000"/>
          <w:sz w:val="24"/>
          <w:szCs w:val="24"/>
          <w:lang w:val="lv-LV" w:eastAsia="lv-LV"/>
        </w:rPr>
        <w:t xml:space="preserve">4. </w:t>
      </w:r>
      <w:r>
        <w:rPr>
          <w:rFonts w:asciiTheme="majorBidi" w:hAnsiTheme="majorBidi" w:cstheme="majorBidi"/>
          <w:color w:val="000000"/>
          <w:sz w:val="24"/>
          <w:szCs w:val="24"/>
          <w:lang w:val="lv-LV" w:eastAsia="lv-LV"/>
        </w:rPr>
        <w:t xml:space="preserve">Patentu valdes struktūrvienības ir departamenti un nodaļas. </w:t>
      </w:r>
      <w:r>
        <w:rPr>
          <w:rFonts w:asciiTheme="majorBidi" w:hAnsiTheme="majorBidi" w:cstheme="majorBidi"/>
          <w:sz w:val="24"/>
          <w:szCs w:val="24"/>
          <w:lang w:val="lv-LV"/>
        </w:rPr>
        <w:t>Departamentu un nodaļu kompetenci nosaka attiecīgās struktūrvienības reglamentā</w:t>
      </w:r>
      <w:r>
        <w:rPr>
          <w:lang w:val="lv-LV"/>
        </w:rPr>
        <w:t xml:space="preserve">. </w:t>
      </w:r>
    </w:p>
    <w:p w14:paraId="53B1A3FB" w14:textId="77777777" w:rsidR="00BB6C14" w:rsidRDefault="00BB6C14">
      <w:pPr>
        <w:pStyle w:val="Bezatstarpm2"/>
        <w:jc w:val="both"/>
        <w:rPr>
          <w:rFonts w:ascii="Times New Roman" w:hAnsi="Times New Roman"/>
          <w:color w:val="000000"/>
          <w:sz w:val="24"/>
          <w:szCs w:val="24"/>
          <w:lang w:val="lv-LV" w:eastAsia="lv-LV"/>
        </w:rPr>
      </w:pPr>
    </w:p>
    <w:p w14:paraId="53B1A3FC"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5. Direktora tiešā pakļautībā ir direktora vietnieks/Administratīvā un finanšu departamenta vadītājs (turpmāk – direktora vietnieks), personāla vadītājs, kvalitātes un risku vadītājs, kā arī šādas struktūrvienības:</w:t>
      </w:r>
    </w:p>
    <w:p w14:paraId="53B1A3FD"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5.1. Patentu departaments;</w:t>
      </w:r>
    </w:p>
    <w:p w14:paraId="53B1A3FE"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5.2. Preču zīmju un dizainparaugu departaments;</w:t>
      </w:r>
    </w:p>
    <w:p w14:paraId="53B1A3FF"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5.3. Attīstības un starptautiskās sadarbības departaments;</w:t>
      </w:r>
    </w:p>
    <w:p w14:paraId="53B1A400"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5.4. Juridiskā nodaļa.</w:t>
      </w:r>
    </w:p>
    <w:p w14:paraId="53B1A401" w14:textId="77777777" w:rsidR="00BB6C14" w:rsidRDefault="00BB6C14">
      <w:pPr>
        <w:pStyle w:val="Bezatstarpm2"/>
        <w:ind w:firstLine="720"/>
        <w:jc w:val="both"/>
        <w:rPr>
          <w:rFonts w:ascii="Times New Roman" w:hAnsi="Times New Roman"/>
          <w:color w:val="000000"/>
          <w:sz w:val="24"/>
          <w:szCs w:val="24"/>
          <w:lang w:val="lv-LV" w:eastAsia="lv-LV"/>
        </w:rPr>
      </w:pPr>
    </w:p>
    <w:p w14:paraId="53B1A402"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6. Direktora vietnieka tiešā pakļautībā ir Administratīvais un finanšu departaments.</w:t>
      </w:r>
    </w:p>
    <w:p w14:paraId="53B1A403" w14:textId="77777777" w:rsidR="00BB6C14" w:rsidRDefault="00BB6C14">
      <w:pPr>
        <w:pStyle w:val="Bezatstarpm2"/>
        <w:ind w:firstLine="720"/>
        <w:jc w:val="both"/>
        <w:rPr>
          <w:rFonts w:ascii="Times New Roman" w:eastAsia="Times New Roman" w:hAnsi="Times New Roman"/>
          <w:color w:val="000000"/>
          <w:sz w:val="24"/>
          <w:szCs w:val="24"/>
          <w:lang w:val="lv-LV" w:eastAsia="lv-LV"/>
        </w:rPr>
      </w:pPr>
    </w:p>
    <w:p w14:paraId="53B1A404" w14:textId="77777777" w:rsidR="00BB6C14" w:rsidRDefault="00BB6C14">
      <w:pPr>
        <w:pStyle w:val="Bezatstarpm2"/>
        <w:ind w:firstLine="720"/>
        <w:jc w:val="both"/>
        <w:rPr>
          <w:rFonts w:ascii="Times New Roman" w:eastAsia="Times New Roman" w:hAnsi="Times New Roman"/>
          <w:color w:val="000000"/>
          <w:sz w:val="24"/>
          <w:szCs w:val="24"/>
          <w:lang w:val="lv-LV" w:eastAsia="lv-LV"/>
        </w:rPr>
      </w:pPr>
    </w:p>
    <w:p w14:paraId="53B1A405" w14:textId="77777777" w:rsidR="00BB6C14" w:rsidRDefault="00507FC2">
      <w:pPr>
        <w:pStyle w:val="Paraststmeklis"/>
        <w:spacing w:before="0" w:beforeAutospacing="0" w:after="0" w:afterAutospacing="0"/>
        <w:ind w:firstLine="720"/>
        <w:jc w:val="center"/>
        <w:rPr>
          <w:b/>
          <w:bCs/>
          <w:color w:val="000000"/>
          <w:lang w:val="lv-LV" w:eastAsia="lv-LV"/>
        </w:rPr>
      </w:pPr>
      <w:r>
        <w:rPr>
          <w:b/>
          <w:bCs/>
          <w:color w:val="000000"/>
          <w:lang w:val="lv-LV" w:eastAsia="lv-LV"/>
        </w:rPr>
        <w:lastRenderedPageBreak/>
        <w:t>III. Patentu valdes darba organizācija</w:t>
      </w:r>
    </w:p>
    <w:p w14:paraId="53B1A406" w14:textId="77777777" w:rsidR="00BB6C14" w:rsidRDefault="00BB6C14">
      <w:pPr>
        <w:pStyle w:val="Bezatstarpm2"/>
        <w:jc w:val="both"/>
        <w:rPr>
          <w:rFonts w:ascii="Times New Roman" w:hAnsi="Times New Roman"/>
          <w:color w:val="000000"/>
          <w:sz w:val="24"/>
          <w:szCs w:val="24"/>
          <w:lang w:val="lv-LV" w:eastAsia="lv-LV"/>
        </w:rPr>
      </w:pPr>
    </w:p>
    <w:p w14:paraId="53B1A407"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7. Direktors:</w:t>
      </w:r>
    </w:p>
    <w:p w14:paraId="53B1A408"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7.1. vada un organizē Patentu valdes darbu;</w:t>
      </w:r>
    </w:p>
    <w:p w14:paraId="53B1A409"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7.2. nodrošina Patentu valdes darbības stratēģijas izstrādi un īstenošanu;</w:t>
      </w:r>
    </w:p>
    <w:p w14:paraId="53B1A40A"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7.3. izveido un pilnveido Patentu valdes organizatorisko struktūru;</w:t>
      </w:r>
    </w:p>
    <w:p w14:paraId="53B1A40B" w14:textId="77777777" w:rsidR="00BB6C14" w:rsidRDefault="00507FC2">
      <w:pPr>
        <w:pStyle w:val="Bezatstarpm2"/>
        <w:ind w:firstLine="720"/>
        <w:jc w:val="both"/>
        <w:rPr>
          <w:rFonts w:asciiTheme="majorBidi" w:hAnsiTheme="majorBidi" w:cstheme="majorBidi"/>
          <w:sz w:val="24"/>
          <w:szCs w:val="24"/>
          <w:lang w:val="lv-LV"/>
        </w:rPr>
      </w:pPr>
      <w:r>
        <w:rPr>
          <w:rFonts w:asciiTheme="majorBidi" w:hAnsiTheme="majorBidi" w:cstheme="majorBidi"/>
          <w:sz w:val="24"/>
          <w:szCs w:val="24"/>
          <w:lang w:val="lv-LV"/>
        </w:rPr>
        <w:t>7.4. apstiprina amatu sarakstus un aprakstus;</w:t>
      </w:r>
    </w:p>
    <w:p w14:paraId="53B1A40C" w14:textId="77777777" w:rsidR="00BB6C14" w:rsidRDefault="00507FC2">
      <w:pPr>
        <w:pStyle w:val="Bezatstarpm2"/>
        <w:ind w:firstLine="720"/>
        <w:jc w:val="both"/>
        <w:rPr>
          <w:rFonts w:asciiTheme="majorBidi" w:hAnsiTheme="majorBidi" w:cstheme="majorBidi"/>
          <w:sz w:val="24"/>
          <w:szCs w:val="24"/>
          <w:lang w:val="lv-LV"/>
        </w:rPr>
      </w:pPr>
      <w:r>
        <w:rPr>
          <w:rFonts w:asciiTheme="majorBidi" w:hAnsiTheme="majorBidi" w:cstheme="majorBidi"/>
          <w:sz w:val="24"/>
          <w:szCs w:val="24"/>
          <w:lang w:val="lv-LV"/>
        </w:rPr>
        <w:t>7.5. izdod rīkojumus un dod norādījumus nodarbinātajiem;</w:t>
      </w:r>
    </w:p>
    <w:p w14:paraId="53B1A40D" w14:textId="77777777" w:rsidR="00BB6C14" w:rsidRDefault="00507FC2">
      <w:pPr>
        <w:pStyle w:val="Bezatstarpm2"/>
        <w:ind w:firstLine="720"/>
        <w:jc w:val="both"/>
        <w:rPr>
          <w:rFonts w:asciiTheme="majorBidi" w:hAnsiTheme="majorBidi" w:cstheme="majorBidi"/>
          <w:sz w:val="24"/>
          <w:szCs w:val="24"/>
          <w:lang w:val="lv-LV"/>
        </w:rPr>
      </w:pPr>
      <w:r>
        <w:rPr>
          <w:rFonts w:asciiTheme="majorBidi" w:hAnsiTheme="majorBidi" w:cstheme="majorBidi"/>
          <w:sz w:val="24"/>
          <w:szCs w:val="24"/>
          <w:lang w:val="lv-LV"/>
        </w:rPr>
        <w:t>7.6.</w:t>
      </w:r>
      <w:r>
        <w:rPr>
          <w:lang w:val="lv-LV"/>
        </w:rPr>
        <w:t> </w:t>
      </w:r>
      <w:r>
        <w:rPr>
          <w:rFonts w:asciiTheme="majorBidi" w:hAnsiTheme="majorBidi" w:cstheme="majorBidi"/>
          <w:sz w:val="24"/>
          <w:szCs w:val="24"/>
          <w:lang w:val="lv-LV"/>
        </w:rPr>
        <w:t>plāno Patentu valdes personālresursus, pieņem darbā un atbrīvo no darba nodarbinātos;</w:t>
      </w:r>
    </w:p>
    <w:p w14:paraId="53B1A40E"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7.7. pārstāv Patentu valdi attiecībās ar valsts un pašvaldību institūcijām, starptautiskajām organizācijām, kā arī juridiskajām un fiziskajām personām.</w:t>
      </w:r>
    </w:p>
    <w:p w14:paraId="53B1A40F" w14:textId="77777777" w:rsidR="00BB6C14" w:rsidRDefault="00BB6C14">
      <w:pPr>
        <w:pStyle w:val="Bezatstarpm2"/>
        <w:ind w:firstLine="720"/>
        <w:jc w:val="both"/>
        <w:rPr>
          <w:rFonts w:ascii="Times New Roman" w:hAnsi="Times New Roman"/>
          <w:color w:val="000000"/>
          <w:sz w:val="24"/>
          <w:szCs w:val="24"/>
          <w:lang w:val="lv-LV" w:eastAsia="lv-LV"/>
        </w:rPr>
      </w:pPr>
    </w:p>
    <w:p w14:paraId="53B1A410"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8. Direktors dod uzdevumus direktora vietniekam, struktūrvienību vadītājiem, kvalitātes un risku vadītājam un personāla vadītājam, kā arī var dot tiešus uzdevumus ikvienam nodarbinātajam.</w:t>
      </w:r>
    </w:p>
    <w:p w14:paraId="53B1A411" w14:textId="77777777" w:rsidR="00BB6C14" w:rsidRDefault="00BB6C14">
      <w:pPr>
        <w:pStyle w:val="Bezatstarpm2"/>
        <w:ind w:firstLine="720"/>
        <w:jc w:val="both"/>
        <w:rPr>
          <w:rFonts w:ascii="Times New Roman" w:hAnsi="Times New Roman"/>
          <w:color w:val="000000"/>
          <w:sz w:val="24"/>
          <w:szCs w:val="24"/>
          <w:lang w:val="lv-LV" w:eastAsia="lv-LV"/>
        </w:rPr>
      </w:pPr>
    </w:p>
    <w:p w14:paraId="53B1A412" w14:textId="77777777" w:rsidR="00BB6C14" w:rsidRDefault="00507FC2">
      <w:pPr>
        <w:pStyle w:val="Bezatstarpm2"/>
        <w:ind w:firstLine="720"/>
        <w:rPr>
          <w:rFonts w:ascii="Times New Roman" w:hAnsi="Times New Roman"/>
          <w:color w:val="000000"/>
          <w:sz w:val="24"/>
          <w:szCs w:val="24"/>
          <w:lang w:val="lv-LV" w:eastAsia="lv-LV"/>
        </w:rPr>
      </w:pPr>
      <w:r>
        <w:rPr>
          <w:rFonts w:ascii="Times New Roman" w:hAnsi="Times New Roman"/>
          <w:color w:val="000000"/>
          <w:sz w:val="24"/>
          <w:szCs w:val="24"/>
          <w:lang w:val="lv-LV" w:eastAsia="lv-LV"/>
        </w:rPr>
        <w:t>9. Direktora vietnieks:</w:t>
      </w:r>
    </w:p>
    <w:p w14:paraId="53B1A413"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9.1. aizvieto Patentu valdes direktoru viņa prombūtnes laikā;</w:t>
      </w:r>
    </w:p>
    <w:p w14:paraId="53B1A414"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9.2. vada Administratīvo un finanšu departamentu un nodrošina tam noteikto funkciju izpildi;</w:t>
      </w:r>
    </w:p>
    <w:p w14:paraId="53B1A415"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9.3. savas kompetences jautājumos pārstāv Patentu valdi attiecībās ar valsts un pašvaldību institūcijām, starptautiskajām organizācijām, kā arī juridiskajām un fiziskajām personām.</w:t>
      </w:r>
    </w:p>
    <w:p w14:paraId="53B1A416" w14:textId="77777777" w:rsidR="00BB6C14" w:rsidRDefault="00BB6C14">
      <w:pPr>
        <w:pStyle w:val="Bezatstarpm2"/>
        <w:jc w:val="both"/>
        <w:rPr>
          <w:rFonts w:ascii="Times New Roman" w:hAnsi="Times New Roman"/>
          <w:color w:val="000000"/>
          <w:sz w:val="24"/>
          <w:szCs w:val="24"/>
          <w:lang w:val="lv-LV" w:eastAsia="lv-LV"/>
        </w:rPr>
      </w:pPr>
    </w:p>
    <w:p w14:paraId="53B1A417"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10. Direktora vietnieks dod uzdevumus pakļautībā esošajiem struktūrvienību vadītājiem. Direktora vietnieks var dot tiešu uzdevumu ikvienam pakļautībā esošās struktūrvienības nodarbinātajam.</w:t>
      </w:r>
    </w:p>
    <w:p w14:paraId="53B1A418" w14:textId="77777777" w:rsidR="00BB6C14" w:rsidRDefault="00BB6C14">
      <w:pPr>
        <w:pStyle w:val="Bezatstarpm2"/>
        <w:jc w:val="both"/>
        <w:rPr>
          <w:rFonts w:ascii="Times New Roman" w:hAnsi="Times New Roman"/>
          <w:strike/>
          <w:color w:val="000000"/>
          <w:sz w:val="24"/>
          <w:szCs w:val="24"/>
          <w:lang w:val="lv-LV" w:eastAsia="lv-LV"/>
        </w:rPr>
      </w:pPr>
    </w:p>
    <w:p w14:paraId="53B1A419"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11. Struktūrvienības vadītājs vada savas struktūrvienības darbu un dod uzdevumus struktūrvienības nodarbinātajiem.</w:t>
      </w:r>
    </w:p>
    <w:p w14:paraId="53B1A41A" w14:textId="77777777" w:rsidR="00BB6C14" w:rsidRDefault="00BB6C14">
      <w:pPr>
        <w:pStyle w:val="Bezatstarpm2"/>
        <w:ind w:firstLine="720"/>
        <w:jc w:val="both"/>
        <w:rPr>
          <w:rFonts w:ascii="Times New Roman" w:hAnsi="Times New Roman"/>
          <w:strike/>
          <w:color w:val="000000"/>
          <w:sz w:val="24"/>
          <w:szCs w:val="24"/>
          <w:lang w:val="lv-LV" w:eastAsia="lv-LV"/>
        </w:rPr>
      </w:pPr>
    </w:p>
    <w:p w14:paraId="53B1A41B"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12. Ja nodarbinātais ir saņēmis tiešu uzdevumu no amatā augstāka nodarbinātā, kurš nav viņa tiešais vadītājs, uzdevuma saņemšanas dienā viņš par to informē savu tiešo vadītāju.</w:t>
      </w:r>
    </w:p>
    <w:p w14:paraId="53B1A41C" w14:textId="77777777" w:rsidR="00BB6C14" w:rsidRDefault="00BB6C14">
      <w:pPr>
        <w:pStyle w:val="Bezatstarpm2"/>
        <w:jc w:val="both"/>
        <w:rPr>
          <w:rFonts w:ascii="Times New Roman" w:hAnsi="Times New Roman"/>
          <w:color w:val="000000"/>
          <w:sz w:val="24"/>
          <w:szCs w:val="24"/>
          <w:lang w:val="lv-LV" w:eastAsia="lv-LV"/>
        </w:rPr>
      </w:pPr>
    </w:p>
    <w:p w14:paraId="53B1A41D"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13. Struktūrvienību darba organizācija un uzdevumi ir noteikti struktūrvienību reglamentos.</w:t>
      </w:r>
    </w:p>
    <w:p w14:paraId="53B1A41E" w14:textId="77777777" w:rsidR="00BB6C14" w:rsidRDefault="00BB6C14">
      <w:pPr>
        <w:pStyle w:val="Bezatstarpm2"/>
        <w:ind w:firstLine="720"/>
        <w:jc w:val="both"/>
        <w:rPr>
          <w:rFonts w:ascii="Times New Roman" w:hAnsi="Times New Roman"/>
          <w:color w:val="000000"/>
          <w:sz w:val="24"/>
          <w:szCs w:val="24"/>
          <w:lang w:val="lv-LV" w:eastAsia="lv-LV"/>
        </w:rPr>
      </w:pPr>
    </w:p>
    <w:p w14:paraId="53B1A41F"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14. Direktora vietnieka, kvalitātes un risku vadītāja un personāla vadītāja pienākumi ir noteikti amata aprakstā.</w:t>
      </w:r>
    </w:p>
    <w:p w14:paraId="53B1A420" w14:textId="77777777" w:rsidR="00BB6C14" w:rsidRDefault="00BB6C14">
      <w:pPr>
        <w:pStyle w:val="Bezatstarpm2"/>
        <w:ind w:firstLine="720"/>
        <w:jc w:val="both"/>
        <w:rPr>
          <w:rFonts w:asciiTheme="majorBidi" w:hAnsiTheme="majorBidi" w:cstheme="majorBidi"/>
          <w:sz w:val="24"/>
          <w:szCs w:val="24"/>
          <w:lang w:val="lv-LV"/>
        </w:rPr>
      </w:pPr>
    </w:p>
    <w:p w14:paraId="53B1A421" w14:textId="77777777" w:rsidR="00BB6C14" w:rsidRDefault="00507FC2">
      <w:pPr>
        <w:pStyle w:val="Bezatstarpm2"/>
        <w:jc w:val="center"/>
        <w:rPr>
          <w:rFonts w:ascii="Times New Roman" w:hAnsi="Times New Roman"/>
          <w:b/>
          <w:bCs/>
          <w:color w:val="000000"/>
          <w:sz w:val="24"/>
          <w:szCs w:val="24"/>
          <w:lang w:val="lv-LV" w:eastAsia="lv-LV"/>
        </w:rPr>
      </w:pPr>
      <w:r>
        <w:rPr>
          <w:rFonts w:ascii="Times New Roman" w:hAnsi="Times New Roman"/>
          <w:b/>
          <w:bCs/>
          <w:color w:val="000000"/>
          <w:sz w:val="24"/>
          <w:szCs w:val="24"/>
          <w:lang w:val="lv-LV" w:eastAsia="lv-LV"/>
        </w:rPr>
        <w:t>IV. Struktūrvienību kompetence</w:t>
      </w:r>
    </w:p>
    <w:p w14:paraId="53B1A422" w14:textId="77777777" w:rsidR="00BB6C14" w:rsidRDefault="00BB6C14">
      <w:pPr>
        <w:pStyle w:val="Pamatteksts"/>
        <w:ind w:firstLine="720"/>
        <w:jc w:val="both"/>
        <w:rPr>
          <w:color w:val="000000"/>
          <w:sz w:val="24"/>
          <w:szCs w:val="24"/>
        </w:rPr>
      </w:pPr>
    </w:p>
    <w:p w14:paraId="53B1A423" w14:textId="77777777" w:rsidR="00BB6C14" w:rsidRDefault="00507FC2">
      <w:pPr>
        <w:pStyle w:val="Pamatteksts"/>
        <w:ind w:firstLine="720"/>
        <w:jc w:val="both"/>
        <w:rPr>
          <w:color w:val="000000"/>
          <w:sz w:val="24"/>
          <w:szCs w:val="24"/>
        </w:rPr>
      </w:pPr>
      <w:r>
        <w:rPr>
          <w:color w:val="000000"/>
          <w:sz w:val="24"/>
          <w:szCs w:val="24"/>
        </w:rPr>
        <w:t xml:space="preserve">15. Administratīvais un finanšu departaments: </w:t>
      </w:r>
    </w:p>
    <w:p w14:paraId="53B1A424"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15.1 nodrošina finanšu vadības un budžeta procesu īstenošanu, tajā skaitā budžeta sagatavošanu, finanšu līdzekļu izlietojuma kontroli un analīzi;</w:t>
      </w:r>
    </w:p>
    <w:p w14:paraId="53B1A425"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15.2. nodrošina maksas pakalpojumu uzskaiti, maksājumu pārvaldību un to pašizmaksas noteikšanu;</w:t>
      </w:r>
    </w:p>
    <w:p w14:paraId="53B1A426"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15.3. nodrošina grāmatvedības procesu īstenošanu, tajā skaitā ieņēmumu un izdevumu  uzskaiti atbilstoši Valsts kases projektējumam;</w:t>
      </w:r>
    </w:p>
    <w:p w14:paraId="53B1A427"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15.4. nodrošina Patentu valdes informācijas sistēmu attīstību, drošības pārvaldību, darbības nepārtrauktību;</w:t>
      </w:r>
    </w:p>
    <w:p w14:paraId="53B1A428" w14:textId="77777777" w:rsidR="00BB6C14" w:rsidRDefault="00507FC2">
      <w:pPr>
        <w:pStyle w:val="Bezatstarpm2"/>
        <w:ind w:firstLine="720"/>
        <w:jc w:val="both"/>
        <w:rPr>
          <w:rFonts w:asciiTheme="majorBidi" w:hAnsiTheme="majorBidi" w:cstheme="majorBidi"/>
          <w:color w:val="000000"/>
          <w:sz w:val="24"/>
          <w:szCs w:val="24"/>
          <w:lang w:val="lv-LV"/>
        </w:rPr>
      </w:pPr>
      <w:r>
        <w:rPr>
          <w:rFonts w:asciiTheme="majorBidi" w:hAnsiTheme="majorBidi" w:cstheme="majorBidi"/>
          <w:color w:val="000000"/>
          <w:sz w:val="24"/>
          <w:szCs w:val="24"/>
          <w:lang w:val="lv-LV"/>
        </w:rPr>
        <w:lastRenderedPageBreak/>
        <w:t>15.5. veic Patentu valdes mantisko vērtību iegādi un pārvaldību;</w:t>
      </w:r>
    </w:p>
    <w:p w14:paraId="53B1A429" w14:textId="77777777" w:rsidR="00BB6C14" w:rsidRDefault="00507FC2">
      <w:pPr>
        <w:spacing w:after="0" w:line="240" w:lineRule="auto"/>
        <w:ind w:firstLine="720"/>
        <w:jc w:val="both"/>
        <w:rPr>
          <w:color w:val="000000"/>
          <w:sz w:val="24"/>
          <w:szCs w:val="24"/>
          <w:lang w:val="lv-LV"/>
        </w:rPr>
      </w:pPr>
      <w:r>
        <w:rPr>
          <w:color w:val="000000"/>
          <w:sz w:val="24"/>
          <w:szCs w:val="24"/>
          <w:lang w:val="lv-LV"/>
        </w:rPr>
        <w:t>15.6. nodrošina drošu darba vidi Patentu valdes telpās;</w:t>
      </w:r>
    </w:p>
    <w:p w14:paraId="53B1A42A" w14:textId="77777777" w:rsidR="00BB6C14" w:rsidRDefault="00507FC2">
      <w:pPr>
        <w:spacing w:after="0" w:line="240" w:lineRule="auto"/>
        <w:ind w:firstLine="720"/>
        <w:jc w:val="both"/>
        <w:rPr>
          <w:color w:val="000000"/>
          <w:sz w:val="24"/>
          <w:szCs w:val="24"/>
          <w:lang w:val="lv-LV"/>
        </w:rPr>
      </w:pPr>
      <w:r>
        <w:rPr>
          <w:color w:val="000000"/>
          <w:sz w:val="24"/>
          <w:szCs w:val="24"/>
          <w:lang w:val="lv-LV"/>
        </w:rPr>
        <w:t>15.7. organizē un nodrošina Patentu valdes lietvedību, dokumentu un arhīva pārvaldību, kā arī</w:t>
      </w:r>
      <w:r>
        <w:rPr>
          <w:rStyle w:val="normaltextrun"/>
          <w:color w:val="000000"/>
          <w:sz w:val="24"/>
          <w:szCs w:val="24"/>
          <w:lang w:val="lv-LV"/>
        </w:rPr>
        <w:t xml:space="preserve"> nodrošina klientu apkalpošanu</w:t>
      </w:r>
      <w:r>
        <w:rPr>
          <w:color w:val="000000"/>
          <w:sz w:val="24"/>
          <w:szCs w:val="24"/>
          <w:lang w:val="lv-LV"/>
        </w:rPr>
        <w:t>;</w:t>
      </w:r>
    </w:p>
    <w:p w14:paraId="53B1A42B" w14:textId="77777777" w:rsidR="00BB6C14" w:rsidRDefault="00507FC2">
      <w:pPr>
        <w:spacing w:after="0" w:line="240" w:lineRule="auto"/>
        <w:ind w:firstLine="720"/>
        <w:jc w:val="both"/>
        <w:rPr>
          <w:color w:val="000000"/>
          <w:sz w:val="24"/>
          <w:szCs w:val="24"/>
          <w:lang w:val="es-ES"/>
        </w:rPr>
      </w:pPr>
      <w:r>
        <w:rPr>
          <w:color w:val="000000"/>
          <w:sz w:val="24"/>
          <w:szCs w:val="24"/>
          <w:lang w:val="es-ES"/>
        </w:rPr>
        <w:t>15.8. veido un publicē Patentu valdes oficiālo izdevumu.</w:t>
      </w:r>
    </w:p>
    <w:p w14:paraId="53B1A42C" w14:textId="77777777" w:rsidR="00BB6C14" w:rsidRDefault="00BB6C14">
      <w:pPr>
        <w:pStyle w:val="Bezatstarpm2"/>
        <w:jc w:val="both"/>
        <w:rPr>
          <w:rFonts w:ascii="Times New Roman" w:hAnsi="Times New Roman"/>
          <w:color w:val="000000"/>
          <w:sz w:val="24"/>
          <w:szCs w:val="24"/>
          <w:lang w:val="lv-LV"/>
        </w:rPr>
      </w:pPr>
    </w:p>
    <w:p w14:paraId="53B1A42D" w14:textId="77777777" w:rsidR="00BB6C14" w:rsidRDefault="00507FC2">
      <w:pPr>
        <w:pStyle w:val="Pamatteksts"/>
        <w:ind w:firstLine="720"/>
        <w:jc w:val="both"/>
        <w:rPr>
          <w:color w:val="000000"/>
          <w:sz w:val="24"/>
          <w:szCs w:val="24"/>
        </w:rPr>
      </w:pPr>
      <w:r>
        <w:rPr>
          <w:color w:val="000000"/>
          <w:sz w:val="24"/>
          <w:szCs w:val="24"/>
        </w:rPr>
        <w:t>16. Attīstības un starptautiskās sadarbības departaments:</w:t>
      </w:r>
    </w:p>
    <w:p w14:paraId="53B1A42E" w14:textId="77777777" w:rsidR="00BB6C14" w:rsidRDefault="00507FC2">
      <w:pPr>
        <w:pStyle w:val="Pamatteksts"/>
        <w:ind w:firstLine="720"/>
        <w:jc w:val="both"/>
        <w:rPr>
          <w:color w:val="000000"/>
          <w:sz w:val="24"/>
          <w:szCs w:val="24"/>
        </w:rPr>
      </w:pPr>
      <w:r>
        <w:rPr>
          <w:color w:val="000000"/>
          <w:sz w:val="24"/>
          <w:szCs w:val="24"/>
        </w:rPr>
        <w:t>16.1. nodrošina Patentu valdes attīstības plānošanas dokumentu, stratēģijas un darba plānu izstrādi, aktualizēšanu, izpildes uzraudzību un darbības rezultātu izvērtēšanu;</w:t>
      </w:r>
    </w:p>
    <w:p w14:paraId="53B1A42F" w14:textId="77777777" w:rsidR="00BB6C14" w:rsidRDefault="00507FC2">
      <w:pPr>
        <w:pStyle w:val="Pamatteksts"/>
        <w:ind w:firstLine="720"/>
        <w:jc w:val="both"/>
        <w:rPr>
          <w:color w:val="000000"/>
          <w:sz w:val="24"/>
          <w:szCs w:val="24"/>
        </w:rPr>
      </w:pPr>
      <w:r>
        <w:rPr>
          <w:color w:val="000000"/>
          <w:sz w:val="24"/>
          <w:szCs w:val="24"/>
        </w:rPr>
        <w:t>16.2. plāno, piesaista, koordinē un nodrošina ārvalstu un starptautisko organizāciju finansētu vai līdzfinansētu projektu un aktivitāšu īstenošanu;</w:t>
      </w:r>
    </w:p>
    <w:p w14:paraId="53B1A430" w14:textId="77777777" w:rsidR="00BB6C14" w:rsidRDefault="00507FC2">
      <w:pPr>
        <w:pStyle w:val="Pamatteksts"/>
        <w:ind w:firstLine="720"/>
        <w:jc w:val="both"/>
        <w:rPr>
          <w:color w:val="000000"/>
          <w:sz w:val="24"/>
          <w:szCs w:val="24"/>
        </w:rPr>
      </w:pPr>
      <w:r>
        <w:rPr>
          <w:color w:val="000000"/>
          <w:sz w:val="24"/>
          <w:szCs w:val="24"/>
        </w:rPr>
        <w:t>16.3. nodrošina Patentu valdes starptautisko sadarbību un ārējās attiecības, kā arī koordinē tās pārstāvību Latvijas, ārvalstu un starptautiskajās institūcijās;</w:t>
      </w:r>
    </w:p>
    <w:p w14:paraId="53B1A431" w14:textId="77777777" w:rsidR="00BB6C14" w:rsidRDefault="00507FC2">
      <w:pPr>
        <w:spacing w:after="0" w:line="240" w:lineRule="auto"/>
        <w:ind w:firstLine="720"/>
        <w:jc w:val="both"/>
        <w:rPr>
          <w:color w:val="000000"/>
          <w:sz w:val="24"/>
          <w:szCs w:val="24"/>
          <w:lang w:val="lv-LV"/>
        </w:rPr>
      </w:pPr>
      <w:r>
        <w:rPr>
          <w:color w:val="000000"/>
          <w:sz w:val="24"/>
          <w:szCs w:val="24"/>
          <w:lang w:val="lv-LV"/>
        </w:rPr>
        <w:t>16.4. nodrošina Patentu valdes komunikāciju, sabiedrības informēšanu un izglītošanu intelektuālā īpašuma tiesību aizsardzības jautājumos, tai skaitā uztur komunikācijas kanālus un koordinē sadarbības tīklus;</w:t>
      </w:r>
    </w:p>
    <w:p w14:paraId="53B1A432" w14:textId="77777777" w:rsidR="00BB6C14" w:rsidRDefault="00507FC2">
      <w:pPr>
        <w:pStyle w:val="Pamatteksts"/>
        <w:ind w:firstLine="720"/>
        <w:jc w:val="both"/>
        <w:rPr>
          <w:color w:val="000000"/>
          <w:sz w:val="24"/>
          <w:szCs w:val="24"/>
        </w:rPr>
      </w:pPr>
      <w:r>
        <w:rPr>
          <w:color w:val="000000"/>
          <w:sz w:val="24"/>
          <w:szCs w:val="24"/>
        </w:rPr>
        <w:t>16.5. </w:t>
      </w:r>
      <w:r>
        <w:rPr>
          <w:rStyle w:val="normaltextrun"/>
          <w:color w:val="000000"/>
          <w:sz w:val="24"/>
          <w:szCs w:val="24"/>
        </w:rPr>
        <w:t>organizē un nodrošina Patentu valdes bibliotēkas darbību un specializēto intelektuālā īpašuma informācijas resursu pieejamību</w:t>
      </w:r>
      <w:r>
        <w:rPr>
          <w:color w:val="000000"/>
          <w:sz w:val="24"/>
          <w:szCs w:val="24"/>
        </w:rPr>
        <w:t>.</w:t>
      </w:r>
    </w:p>
    <w:p w14:paraId="53B1A433" w14:textId="77777777" w:rsidR="00BB6C14" w:rsidRDefault="00BB6C14">
      <w:pPr>
        <w:pStyle w:val="Bezatstarpm2"/>
        <w:jc w:val="both"/>
        <w:rPr>
          <w:rFonts w:ascii="Times New Roman" w:hAnsi="Times New Roman"/>
          <w:color w:val="000000"/>
          <w:sz w:val="24"/>
          <w:szCs w:val="24"/>
          <w:lang w:val="lv-LV" w:eastAsia="lv-LV"/>
        </w:rPr>
      </w:pPr>
    </w:p>
    <w:p w14:paraId="53B1A434"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17. Patentu departaments:</w:t>
      </w:r>
    </w:p>
    <w:p w14:paraId="53B1A435"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17.1. nodrošina patentu, papildu aizsardzības sertifikātu un pusvadītāju izstrādājumu topogrāfiju pieteikumu izskatīšanu, veic to ekspertīzi, tai skaitā Eiropas patentu apstiprināšanu Latvijā;</w:t>
      </w:r>
    </w:p>
    <w:p w14:paraId="53B1A436"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eastAsia="lv-LV"/>
        </w:rPr>
        <w:t>17.2. </w:t>
      </w:r>
      <w:r>
        <w:rPr>
          <w:rFonts w:ascii="Times New Roman" w:hAnsi="Times New Roman"/>
          <w:color w:val="000000"/>
          <w:sz w:val="24"/>
          <w:szCs w:val="24"/>
          <w:lang w:val="lv-LV"/>
        </w:rPr>
        <w:t>administrē patentu un papildu aizsardzības sertifikātu spēkā uzturēšanas procedūras;</w:t>
      </w:r>
    </w:p>
    <w:p w14:paraId="53B1A437"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17.3. pieņem lēmumu par patentu, papildu aizsardzības sertifikātu un pusvadītāju izstrādājumu topogrāfiju reģistrāciju vai reģistrācijas atteikumu, kā arī citus lēmumus patentu, papildu aizsardzības sertifikātu un pusvadītāju izstrādājumu topogrāfiju reģistrācijas un pēcreģistrācijas procedūrās;</w:t>
      </w:r>
    </w:p>
    <w:p w14:paraId="53B1A438" w14:textId="77777777" w:rsidR="00BB6C14" w:rsidRDefault="00507FC2">
      <w:pPr>
        <w:pStyle w:val="Bezatstarpm2"/>
        <w:ind w:firstLine="720"/>
        <w:jc w:val="both"/>
        <w:rPr>
          <w:rFonts w:ascii="Times New Roman" w:hAnsi="Times New Roman"/>
          <w:sz w:val="24"/>
          <w:szCs w:val="24"/>
          <w:lang w:val="lv-LV"/>
        </w:rPr>
      </w:pPr>
      <w:r>
        <w:rPr>
          <w:rFonts w:ascii="Times New Roman" w:hAnsi="Times New Roman"/>
          <w:sz w:val="24"/>
          <w:szCs w:val="24"/>
          <w:lang w:val="lv-LV"/>
        </w:rPr>
        <w:t>17.4. </w:t>
      </w:r>
      <w:r>
        <w:rPr>
          <w:rFonts w:ascii="Times New Roman" w:hAnsi="Times New Roman"/>
          <w:color w:val="000000"/>
          <w:sz w:val="24"/>
          <w:szCs w:val="24"/>
          <w:lang w:val="lv-LV"/>
        </w:rPr>
        <w:t>uztur Patentu reģistru un pusvadītāju izstrādājumu topogrāfiju reģistru, kā arī</w:t>
      </w:r>
      <w:r>
        <w:rPr>
          <w:rFonts w:ascii="Times New Roman" w:hAnsi="Times New Roman"/>
          <w:sz w:val="24"/>
          <w:szCs w:val="24"/>
          <w:lang w:val="lv-LV"/>
        </w:rPr>
        <w:t xml:space="preserve"> sagatavo izziņas no tiem;</w:t>
      </w:r>
    </w:p>
    <w:p w14:paraId="53B1A439" w14:textId="77777777" w:rsidR="00BB6C14" w:rsidRDefault="00507FC2">
      <w:pPr>
        <w:spacing w:after="0" w:line="240" w:lineRule="auto"/>
        <w:ind w:firstLine="720"/>
        <w:jc w:val="both"/>
        <w:rPr>
          <w:color w:val="000000"/>
          <w:sz w:val="24"/>
          <w:szCs w:val="24"/>
          <w:lang w:val="lv-LV"/>
        </w:rPr>
      </w:pPr>
      <w:r>
        <w:rPr>
          <w:color w:val="000000"/>
          <w:sz w:val="24"/>
          <w:szCs w:val="24"/>
          <w:lang w:val="lv-LV"/>
        </w:rPr>
        <w:t xml:space="preserve">17.5. nodrošina informācijas pakalpojumu izgudrojumu un </w:t>
      </w:r>
      <w:r>
        <w:rPr>
          <w:color w:val="000000"/>
          <w:spacing w:val="-8"/>
          <w:w w:val="105"/>
          <w:sz w:val="24"/>
          <w:szCs w:val="24"/>
          <w:lang w:val="lv-LV"/>
        </w:rPr>
        <w:t xml:space="preserve">pusvadītāju izstrādājumu topogrāfiju </w:t>
      </w:r>
      <w:r>
        <w:rPr>
          <w:color w:val="000000"/>
          <w:sz w:val="24"/>
          <w:szCs w:val="24"/>
          <w:lang w:val="lv-LV"/>
        </w:rPr>
        <w:t>aizsardzības jomā sniegšanu.</w:t>
      </w:r>
    </w:p>
    <w:p w14:paraId="53B1A43A" w14:textId="77777777" w:rsidR="00BB6C14" w:rsidRDefault="00BB6C14">
      <w:pPr>
        <w:pStyle w:val="Bezatstarpm2"/>
        <w:jc w:val="both"/>
        <w:rPr>
          <w:rFonts w:ascii="Times New Roman" w:hAnsi="Times New Roman"/>
          <w:sz w:val="24"/>
          <w:szCs w:val="24"/>
          <w:lang w:val="lv-LV"/>
        </w:rPr>
      </w:pPr>
    </w:p>
    <w:p w14:paraId="53B1A43B" w14:textId="77777777" w:rsidR="00BB6C14" w:rsidRDefault="00507FC2">
      <w:pPr>
        <w:pStyle w:val="Bezatstarpm2"/>
        <w:ind w:firstLine="720"/>
        <w:jc w:val="both"/>
        <w:rPr>
          <w:rFonts w:ascii="Times New Roman" w:eastAsia="Times New Roman" w:hAnsi="Times New Roman"/>
          <w:color w:val="000000"/>
          <w:sz w:val="24"/>
          <w:szCs w:val="24"/>
          <w:lang w:val="lv-LV"/>
        </w:rPr>
      </w:pPr>
      <w:r>
        <w:rPr>
          <w:rFonts w:ascii="Times New Roman" w:eastAsia="Times New Roman" w:hAnsi="Times New Roman"/>
          <w:color w:val="000000"/>
          <w:sz w:val="24"/>
          <w:szCs w:val="24"/>
          <w:lang w:val="lv-LV"/>
        </w:rPr>
        <w:t>18. Preču zīmju un dizainparaugu departaments:</w:t>
      </w:r>
    </w:p>
    <w:p w14:paraId="53B1A43C" w14:textId="77777777" w:rsidR="00BB6C14" w:rsidRDefault="00507FC2">
      <w:pPr>
        <w:spacing w:after="0" w:line="240" w:lineRule="auto"/>
        <w:ind w:firstLine="720"/>
        <w:jc w:val="both"/>
        <w:rPr>
          <w:color w:val="000000"/>
          <w:sz w:val="24"/>
          <w:szCs w:val="24"/>
          <w:lang w:val="lv-LV"/>
        </w:rPr>
      </w:pPr>
      <w:r>
        <w:rPr>
          <w:color w:val="000000"/>
          <w:sz w:val="24"/>
          <w:szCs w:val="24"/>
          <w:lang w:val="lv-LV"/>
        </w:rPr>
        <w:t xml:space="preserve">18.1. nodrošina preču zīmju, dizainparaugu un amatniecības un rūpniecības ražojumu ģeogrāfiskās izcelsmes norāžu (turpmāk – ģeogrāfiskās izcelsmes norādes) pieteikumu, tai skaitā pieteikumu par starptautiskās preču zīmes vai dizainparauga reģistrācijas attiecinājumu uz Latviju, izskatīšanu; </w:t>
      </w:r>
    </w:p>
    <w:p w14:paraId="53B1A43D" w14:textId="77777777" w:rsidR="00BB6C14" w:rsidRDefault="00507FC2">
      <w:pPr>
        <w:spacing w:after="0" w:line="240" w:lineRule="auto"/>
        <w:ind w:firstLine="720"/>
        <w:jc w:val="both"/>
        <w:rPr>
          <w:color w:val="000000"/>
          <w:sz w:val="24"/>
          <w:szCs w:val="24"/>
          <w:lang w:val="lv-LV"/>
        </w:rPr>
      </w:pPr>
      <w:r>
        <w:rPr>
          <w:color w:val="000000"/>
          <w:sz w:val="24"/>
          <w:szCs w:val="24"/>
          <w:lang w:val="lv-LV"/>
        </w:rPr>
        <w:t>18.2. pieņem lēmumu par preču zīmju un dizainparaugu reģistrāciju vai reģistrācijas atteikumu, kā arī citus lēmumus preču zīmju, dizainparaugu reģistrācijas un pēcreģistrācijas procedūrās, kā arī pieņem lēmumus par ģeogrāfiskās izcelsmes norāžu pieteikumu atbilstību nacionālajā posmā;</w:t>
      </w:r>
    </w:p>
    <w:p w14:paraId="53B1A43E" w14:textId="77777777" w:rsidR="00BB6C14" w:rsidRDefault="00507FC2">
      <w:pPr>
        <w:spacing w:after="0" w:line="240" w:lineRule="auto"/>
        <w:ind w:firstLine="720"/>
        <w:jc w:val="both"/>
        <w:rPr>
          <w:color w:val="000000"/>
          <w:sz w:val="24"/>
          <w:szCs w:val="24"/>
          <w:lang w:val="lv-LV"/>
        </w:rPr>
      </w:pPr>
      <w:r>
        <w:rPr>
          <w:color w:val="000000"/>
          <w:sz w:val="24"/>
          <w:szCs w:val="24"/>
          <w:lang w:val="lv-LV"/>
        </w:rPr>
        <w:t>18.3. uztur Preču zīmju reģistru un Dizainparaugu reģistru, sagatavo izziņas, kā arī nodrošina ar ģeogrāfiskās izcelsmes norādēm saistītās informācijas apriti.</w:t>
      </w:r>
    </w:p>
    <w:p w14:paraId="53B1A43F" w14:textId="77777777" w:rsidR="00BB6C14" w:rsidRDefault="00507FC2">
      <w:pPr>
        <w:spacing w:after="0" w:line="240" w:lineRule="auto"/>
        <w:ind w:firstLine="720"/>
        <w:jc w:val="both"/>
        <w:rPr>
          <w:color w:val="000000"/>
          <w:sz w:val="24"/>
          <w:szCs w:val="24"/>
          <w:lang w:val="lv-LV"/>
        </w:rPr>
      </w:pPr>
      <w:r>
        <w:rPr>
          <w:color w:val="000000"/>
          <w:sz w:val="24"/>
          <w:szCs w:val="24"/>
          <w:lang w:val="lv-LV"/>
        </w:rPr>
        <w:t>18.4. nodrošina informācijas pakalpojumu preču zīmju un dizainparaugu aizsardzības jomā sniegšanu.</w:t>
      </w:r>
    </w:p>
    <w:p w14:paraId="53B1A440" w14:textId="77777777" w:rsidR="00BB6C14" w:rsidRDefault="00BB6C14">
      <w:pPr>
        <w:spacing w:after="0" w:line="240" w:lineRule="auto"/>
        <w:jc w:val="both"/>
        <w:rPr>
          <w:color w:val="000000"/>
          <w:sz w:val="24"/>
          <w:szCs w:val="24"/>
          <w:lang w:val="lv-LV"/>
        </w:rPr>
      </w:pPr>
    </w:p>
    <w:p w14:paraId="53B1A441"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19. Juridiskā nodaļa:</w:t>
      </w:r>
    </w:p>
    <w:p w14:paraId="53B1A442"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rPr>
        <w:t xml:space="preserve">19.1. sagatavo </w:t>
      </w:r>
      <w:r>
        <w:rPr>
          <w:rFonts w:ascii="Times New Roman" w:hAnsi="Times New Roman"/>
          <w:color w:val="000000"/>
          <w:sz w:val="24"/>
          <w:szCs w:val="24"/>
          <w:lang w:val="lv-LV" w:eastAsia="lv-LV"/>
        </w:rPr>
        <w:t xml:space="preserve">iekšējo normatīvo aktu un </w:t>
      </w:r>
      <w:r>
        <w:rPr>
          <w:rFonts w:ascii="Times New Roman" w:hAnsi="Times New Roman"/>
          <w:sz w:val="24"/>
          <w:szCs w:val="24"/>
          <w:lang w:val="lv-LV"/>
        </w:rPr>
        <w:t xml:space="preserve">nodaļas kompetencē esošo </w:t>
      </w:r>
      <w:r>
        <w:rPr>
          <w:rFonts w:ascii="Times New Roman" w:hAnsi="Times New Roman"/>
          <w:color w:val="000000"/>
          <w:sz w:val="24"/>
          <w:szCs w:val="24"/>
          <w:lang w:val="lv-LV" w:eastAsia="lv-LV"/>
        </w:rPr>
        <w:t>dokumentu projektus, kā arī sniedz juridiskus atzinumus un konsultācijas;</w:t>
      </w:r>
    </w:p>
    <w:p w14:paraId="53B1A443"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19.2. koordinē Patentu valdes pārstāvību tiesvedības procesos;</w:t>
      </w:r>
    </w:p>
    <w:p w14:paraId="53B1A444"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lastRenderedPageBreak/>
        <w:t>19.3. nodrošina juridisko atbalstu publisko iepirkumu procedūrās Patentu valdes funkciju nodrošināšanai;</w:t>
      </w:r>
    </w:p>
    <w:p w14:paraId="53B1A445"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19.4. organizē profesionālo patentpilnvarnieku kvalifikācijas eksāmena procesu un uztur profesionālo patentpilnvarnieku sarakstu;</w:t>
      </w:r>
    </w:p>
    <w:p w14:paraId="53B1A446"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eastAsia="lv-LV"/>
        </w:rPr>
        <w:t xml:space="preserve">19.5. piedalās </w:t>
      </w:r>
      <w:r>
        <w:rPr>
          <w:rFonts w:ascii="Times New Roman" w:hAnsi="Times New Roman"/>
          <w:color w:val="000000"/>
          <w:sz w:val="24"/>
          <w:szCs w:val="24"/>
          <w:lang w:val="lv-LV"/>
        </w:rPr>
        <w:t>Rūpnieciskā īpašuma apelācijas padomes lietvedības nodrošināšanā;</w:t>
      </w:r>
    </w:p>
    <w:p w14:paraId="53B1A447" w14:textId="77777777" w:rsidR="00BB6C14" w:rsidRDefault="00507FC2">
      <w:pPr>
        <w:pStyle w:val="Bezatstarpm2"/>
        <w:ind w:firstLine="720"/>
        <w:jc w:val="both"/>
        <w:rPr>
          <w:rFonts w:asciiTheme="majorBidi" w:hAnsiTheme="majorBidi" w:cstheme="majorBidi"/>
          <w:color w:val="000000"/>
          <w:sz w:val="24"/>
          <w:szCs w:val="24"/>
          <w:lang w:val="lv-LV"/>
        </w:rPr>
      </w:pPr>
      <w:r>
        <w:rPr>
          <w:rFonts w:ascii="Times New Roman" w:hAnsi="Times New Roman"/>
          <w:color w:val="000000"/>
          <w:sz w:val="24"/>
          <w:szCs w:val="24"/>
          <w:lang w:val="lv-LV"/>
        </w:rPr>
        <w:t xml:space="preserve">19.6. nodrošina sankciju pārbaudes īstenošanu, kā arī konsultē par </w:t>
      </w:r>
      <w:r>
        <w:rPr>
          <w:rFonts w:asciiTheme="majorBidi" w:hAnsiTheme="majorBidi" w:cstheme="majorBidi"/>
          <w:color w:val="000000"/>
          <w:sz w:val="24"/>
          <w:szCs w:val="24"/>
          <w:lang w:val="lv-LV"/>
        </w:rPr>
        <w:t>sankciju piemērošanas jautājumiem.</w:t>
      </w:r>
    </w:p>
    <w:p w14:paraId="53B1A448" w14:textId="77777777" w:rsidR="00BB6C14" w:rsidRDefault="00BB6C14">
      <w:pPr>
        <w:pStyle w:val="Bezatstarpm2"/>
        <w:ind w:firstLine="720"/>
        <w:jc w:val="both"/>
        <w:rPr>
          <w:rFonts w:ascii="Times New Roman" w:hAnsi="Times New Roman"/>
          <w:color w:val="000000"/>
          <w:sz w:val="24"/>
          <w:szCs w:val="24"/>
          <w:lang w:val="lv-LV"/>
        </w:rPr>
      </w:pPr>
    </w:p>
    <w:p w14:paraId="53B1A449"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20. Struktūrvienības, </w:t>
      </w:r>
      <w:r>
        <w:rPr>
          <w:rFonts w:ascii="Times New Roman" w:hAnsi="Times New Roman"/>
          <w:color w:val="000000"/>
          <w:sz w:val="24"/>
          <w:szCs w:val="24"/>
          <w:lang w:val="lv-LV" w:eastAsia="lv-LV"/>
        </w:rPr>
        <w:t>kvalitātes un risku vadītājs un personāla vadītājs</w:t>
      </w:r>
      <w:r>
        <w:rPr>
          <w:rFonts w:ascii="Times New Roman" w:hAnsi="Times New Roman"/>
          <w:color w:val="000000"/>
          <w:sz w:val="24"/>
          <w:szCs w:val="24"/>
          <w:lang w:val="lv-LV"/>
        </w:rPr>
        <w:t xml:space="preserve"> veic arī šādus vispārējus uzdevumus:</w:t>
      </w:r>
    </w:p>
    <w:p w14:paraId="53B1A44A"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eastAsia="lv-LV"/>
        </w:rPr>
        <w:t>20.1</w:t>
      </w:r>
      <w:r>
        <w:rPr>
          <w:rFonts w:ascii="Times New Roman" w:hAnsi="Times New Roman"/>
          <w:color w:val="000000"/>
          <w:sz w:val="24"/>
          <w:szCs w:val="24"/>
          <w:lang w:val="lv-LV"/>
        </w:rPr>
        <w:t>. piedalās rūpnieciskā īpašuma jomas normatīvo aktu, politikas plānošanas dokumentu, Patentu valdes darbības pārskatu, informatīvu materiālu un citu dokumentu izvērtēšanā un izstrādē;</w:t>
      </w:r>
    </w:p>
    <w:p w14:paraId="53B1A44B" w14:textId="77777777" w:rsidR="00BB6C14" w:rsidRDefault="00507FC2">
      <w:pPr>
        <w:spacing w:after="0" w:line="240" w:lineRule="auto"/>
        <w:ind w:firstLine="720"/>
        <w:jc w:val="both"/>
        <w:rPr>
          <w:color w:val="000000"/>
          <w:sz w:val="24"/>
          <w:szCs w:val="24"/>
          <w:lang w:val="lv-LV"/>
        </w:rPr>
      </w:pPr>
      <w:r>
        <w:rPr>
          <w:sz w:val="24"/>
          <w:szCs w:val="24"/>
          <w:lang w:val="lv-LV"/>
        </w:rPr>
        <w:t>20.2. piedalās atzinumu sagatavošanā par citu institūciju normatīvo aktu projektiem;</w:t>
      </w:r>
    </w:p>
    <w:p w14:paraId="53B1A44C"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eastAsia="lv-LV"/>
        </w:rPr>
        <w:t>20.3. sniedz priekšlikumus direktoram tiesību normu pilnveidošanai;</w:t>
      </w:r>
    </w:p>
    <w:p w14:paraId="53B1A44D"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20.4. piedalās rezultatīvo rādītāju izstrādē, kā arī apkopo un analizē šo rādītāju izpildi;</w:t>
      </w:r>
    </w:p>
    <w:p w14:paraId="53B1A44E"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eastAsia="lv-LV"/>
        </w:rPr>
        <w:t>20.5</w:t>
      </w:r>
      <w:r>
        <w:rPr>
          <w:rFonts w:ascii="Times New Roman" w:hAnsi="Times New Roman"/>
          <w:color w:val="000000"/>
          <w:sz w:val="24"/>
          <w:szCs w:val="24"/>
          <w:lang w:val="lv-LV"/>
        </w:rPr>
        <w:t>. izstrādā priekšlikumus Patentu valdes prioritāšu noteikšanā budžeta pieprasījuma izstrādes procesā, kā arī sniedz nepieciešamo informāciju budžeta pieprasījuma sagatavošanai;</w:t>
      </w:r>
    </w:p>
    <w:p w14:paraId="53B1A44F"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20.6. </w:t>
      </w:r>
      <w:r>
        <w:rPr>
          <w:rFonts w:ascii="Times New Roman" w:hAnsi="Times New Roman"/>
          <w:color w:val="000000"/>
          <w:sz w:val="24"/>
          <w:szCs w:val="24"/>
          <w:lang w:val="lv-LV" w:eastAsia="lv-LV"/>
        </w:rPr>
        <w:t>nodrošina pārstāvību darba grupās, sanāksmēs, konferencēs, informatīvajos pasākumos rūpnieciskā īpašuma jomā</w:t>
      </w:r>
      <w:r>
        <w:rPr>
          <w:rFonts w:ascii="Times New Roman" w:hAnsi="Times New Roman"/>
          <w:color w:val="000000"/>
          <w:sz w:val="24"/>
          <w:szCs w:val="24"/>
          <w:lang w:val="lv-LV"/>
        </w:rPr>
        <w:t>;</w:t>
      </w:r>
    </w:p>
    <w:p w14:paraId="53B1A450"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20.7. sadarbojas ar valsts pārvaldes iestādēm, starptautiskajām organizācijām un ārvalstu intelektuālā īpašuma iestādēm, lai stiprinātu rūpnieciskā īpašuma vērtību;</w:t>
      </w:r>
    </w:p>
    <w:p w14:paraId="53B1A451" w14:textId="77777777" w:rsidR="00BB6C14" w:rsidRDefault="00507FC2">
      <w:pPr>
        <w:pStyle w:val="Bezatstarpm2"/>
        <w:ind w:firstLine="720"/>
        <w:jc w:val="both"/>
        <w:rPr>
          <w:lang w:val="lv-LV"/>
        </w:rPr>
      </w:pPr>
      <w:r>
        <w:rPr>
          <w:rFonts w:ascii="Times New Roman" w:hAnsi="Times New Roman"/>
          <w:color w:val="000000"/>
          <w:sz w:val="24"/>
          <w:szCs w:val="24"/>
          <w:lang w:val="lv-LV" w:eastAsia="lv-LV"/>
        </w:rPr>
        <w:t>20.8. piedalās starptautisko projektu plānošanā, pieteikumu izstrādē, nodrošina to īstenošanu;</w:t>
      </w:r>
    </w:p>
    <w:p w14:paraId="53B1A452"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20.9. nodrošina konsultāciju sniegšanu, atzinumu, atbilžu un viedokļu sagatavošanu;</w:t>
      </w:r>
    </w:p>
    <w:p w14:paraId="53B1A453" w14:textId="77777777" w:rsidR="00BB6C14" w:rsidRDefault="00507FC2">
      <w:pPr>
        <w:pStyle w:val="Bezatstarpm2"/>
        <w:ind w:firstLine="720"/>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20.10. nodrošina Patentu valdes pārstāvību tiesvedības procesos;</w:t>
      </w:r>
    </w:p>
    <w:p w14:paraId="53B1A454" w14:textId="77777777" w:rsidR="00BB6C14" w:rsidRDefault="00507FC2">
      <w:pPr>
        <w:spacing w:after="0" w:line="240" w:lineRule="auto"/>
        <w:ind w:firstLine="720"/>
        <w:jc w:val="both"/>
        <w:rPr>
          <w:color w:val="000000"/>
          <w:sz w:val="24"/>
          <w:szCs w:val="24"/>
          <w:lang w:val="lv-LV"/>
        </w:rPr>
      </w:pPr>
      <w:r>
        <w:rPr>
          <w:color w:val="000000"/>
          <w:sz w:val="24"/>
          <w:szCs w:val="24"/>
          <w:lang w:val="lv-LV" w:eastAsia="lv-LV"/>
        </w:rPr>
        <w:t>20.11.</w:t>
      </w:r>
      <w:r>
        <w:rPr>
          <w:color w:val="000000"/>
          <w:sz w:val="24"/>
          <w:szCs w:val="24"/>
          <w:lang w:val="lv-LV"/>
        </w:rPr>
        <w:t> līdzdarbojas Patentu valdes tīmekļa vietnes satura papildināšanā un aktualizēšanā;</w:t>
      </w:r>
    </w:p>
    <w:p w14:paraId="53B1A455" w14:textId="77777777" w:rsidR="00BB6C14" w:rsidRDefault="00507FC2">
      <w:pPr>
        <w:spacing w:after="0" w:line="240" w:lineRule="auto"/>
        <w:ind w:firstLine="720"/>
        <w:jc w:val="both"/>
        <w:rPr>
          <w:color w:val="000000"/>
          <w:sz w:val="24"/>
          <w:szCs w:val="24"/>
          <w:lang w:val="lv-LV"/>
        </w:rPr>
      </w:pPr>
      <w:r>
        <w:rPr>
          <w:color w:val="000000"/>
          <w:sz w:val="24"/>
          <w:szCs w:val="24"/>
          <w:lang w:val="lv-LV"/>
        </w:rPr>
        <w:t>20.12. piedalās publisko iepirkumu plānošanā, iepirkumu dokumentācijas sagatavošanā un izvērtēšanā, kā arī sniedz atbalstu iepirkumu procedūru un iepirkuma līgumu īstenošanas gaitā;</w:t>
      </w:r>
    </w:p>
    <w:p w14:paraId="53B1A456" w14:textId="77777777" w:rsidR="00BB6C14" w:rsidRDefault="00507FC2">
      <w:pPr>
        <w:pStyle w:val="Bezatstarpm2"/>
        <w:ind w:firstLine="720"/>
        <w:jc w:val="both"/>
        <w:rPr>
          <w:rFonts w:asciiTheme="majorBidi" w:hAnsiTheme="majorBidi" w:cstheme="majorBidi"/>
          <w:color w:val="000000"/>
          <w:sz w:val="24"/>
          <w:szCs w:val="24"/>
          <w:lang w:val="lv-LV"/>
        </w:rPr>
      </w:pPr>
      <w:r>
        <w:rPr>
          <w:rFonts w:asciiTheme="majorBidi" w:hAnsiTheme="majorBidi" w:cstheme="majorBidi"/>
          <w:color w:val="000000"/>
          <w:sz w:val="24"/>
          <w:szCs w:val="24"/>
          <w:lang w:val="lv-LV"/>
        </w:rPr>
        <w:t>20.13. veic nacionālo un starptautisko sankciju pārbaudes Patentu valdē;</w:t>
      </w:r>
    </w:p>
    <w:p w14:paraId="53B1A457" w14:textId="77777777" w:rsidR="00BB6C14" w:rsidRDefault="00507FC2">
      <w:pPr>
        <w:pStyle w:val="Bezatstarpm2"/>
        <w:ind w:firstLine="720"/>
        <w:jc w:val="both"/>
        <w:rPr>
          <w:rFonts w:asciiTheme="majorBidi" w:hAnsiTheme="majorBidi" w:cstheme="majorBidi"/>
          <w:color w:val="000000"/>
          <w:sz w:val="24"/>
          <w:szCs w:val="24"/>
          <w:lang w:val="lv-LV"/>
        </w:rPr>
      </w:pPr>
      <w:r>
        <w:rPr>
          <w:rFonts w:asciiTheme="majorBidi" w:hAnsiTheme="majorBidi" w:cstheme="majorBidi"/>
          <w:color w:val="000000"/>
          <w:sz w:val="24"/>
          <w:szCs w:val="24"/>
          <w:lang w:val="lv-LV"/>
        </w:rPr>
        <w:t xml:space="preserve">20.14. piedalās profesionālo patentpilnvarnieku </w:t>
      </w:r>
      <w:r>
        <w:rPr>
          <w:rFonts w:ascii="Times New Roman" w:hAnsi="Times New Roman"/>
          <w:color w:val="000000"/>
          <w:sz w:val="24"/>
          <w:szCs w:val="24"/>
          <w:lang w:val="lv-LV"/>
        </w:rPr>
        <w:t xml:space="preserve">kvalifikācijas eksāmena procesa organizēšanā. </w:t>
      </w:r>
    </w:p>
    <w:p w14:paraId="53B1A458" w14:textId="77777777" w:rsidR="00BB6C14" w:rsidRDefault="00BB6C14">
      <w:pPr>
        <w:pStyle w:val="Bezatstarpm2"/>
        <w:jc w:val="both"/>
        <w:rPr>
          <w:rFonts w:asciiTheme="majorBidi" w:hAnsiTheme="majorBidi" w:cstheme="majorBidi"/>
          <w:color w:val="000000"/>
          <w:sz w:val="24"/>
          <w:szCs w:val="24"/>
          <w:lang w:val="lv-LV"/>
        </w:rPr>
      </w:pPr>
    </w:p>
    <w:p w14:paraId="53B1A459" w14:textId="77777777" w:rsidR="00BB6C14" w:rsidRDefault="00507FC2">
      <w:pPr>
        <w:spacing w:after="0" w:line="240" w:lineRule="auto"/>
        <w:jc w:val="center"/>
        <w:rPr>
          <w:sz w:val="24"/>
          <w:szCs w:val="24"/>
          <w:lang w:val="lv-LV"/>
        </w:rPr>
      </w:pPr>
      <w:r>
        <w:rPr>
          <w:b/>
          <w:color w:val="000000"/>
          <w:sz w:val="24"/>
          <w:szCs w:val="24"/>
          <w:lang w:val="lv-LV" w:eastAsia="lv-LV"/>
        </w:rPr>
        <w:t>V. Noslēguma jautājumi</w:t>
      </w:r>
    </w:p>
    <w:p w14:paraId="53B1A45A" w14:textId="77777777" w:rsidR="00BB6C14" w:rsidRDefault="00BB6C14">
      <w:pPr>
        <w:pStyle w:val="Bezatstarpm2"/>
        <w:ind w:firstLine="720"/>
        <w:jc w:val="center"/>
        <w:rPr>
          <w:rFonts w:ascii="Times New Roman" w:hAnsi="Times New Roman"/>
          <w:b/>
          <w:bCs/>
          <w:color w:val="000000"/>
          <w:sz w:val="24"/>
          <w:szCs w:val="24"/>
          <w:lang w:val="lv-LV"/>
        </w:rPr>
      </w:pPr>
    </w:p>
    <w:p w14:paraId="53B1A45B"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21. Atzīt par spēku zaudējušu Patentu valdes 2022. gada 25. maija reglamentu </w:t>
      </w:r>
      <w:r>
        <w:rPr>
          <w:rFonts w:ascii="Times New Roman" w:hAnsi="Times New Roman"/>
          <w:color w:val="000000"/>
          <w:sz w:val="24"/>
          <w:szCs w:val="24"/>
          <w:lang w:val="lv-LV"/>
        </w:rPr>
        <w:br/>
        <w:t>Nr.1-2/4 “Patentu valdes reglaments”.</w:t>
      </w:r>
    </w:p>
    <w:p w14:paraId="53B1A45C" w14:textId="77777777" w:rsidR="00BB6C14" w:rsidRDefault="00BB6C14">
      <w:pPr>
        <w:pStyle w:val="Bezatstarpm2"/>
        <w:ind w:firstLine="720"/>
        <w:jc w:val="both"/>
        <w:rPr>
          <w:rFonts w:ascii="Times New Roman" w:hAnsi="Times New Roman"/>
          <w:color w:val="000000"/>
          <w:sz w:val="24"/>
          <w:szCs w:val="24"/>
          <w:lang w:val="lv-LV"/>
        </w:rPr>
      </w:pPr>
    </w:p>
    <w:p w14:paraId="53B1A45D"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22. </w:t>
      </w:r>
      <w:r>
        <w:rPr>
          <w:rFonts w:ascii="Times New Roman" w:hAnsi="Times New Roman"/>
          <w:color w:val="000000"/>
          <w:sz w:val="24"/>
          <w:szCs w:val="24"/>
          <w:lang w:val="lv-LV"/>
        </w:rPr>
        <w:t>Reglaments stājas spēkā 2026. gada 1. jūlijā.</w:t>
      </w:r>
    </w:p>
    <w:p w14:paraId="53B1A45E" w14:textId="77777777" w:rsidR="00BB6C14" w:rsidRDefault="00BB6C14">
      <w:pPr>
        <w:pStyle w:val="Bezatstarpm2"/>
        <w:ind w:firstLine="720"/>
        <w:jc w:val="both"/>
        <w:rPr>
          <w:rFonts w:ascii="Times New Roman" w:hAnsi="Times New Roman"/>
          <w:color w:val="000000"/>
          <w:sz w:val="24"/>
          <w:szCs w:val="24"/>
          <w:lang w:val="lv-LV"/>
        </w:rPr>
      </w:pPr>
    </w:p>
    <w:p w14:paraId="53B1A45F" w14:textId="77777777" w:rsidR="00BB6C14" w:rsidRDefault="00507FC2">
      <w:pPr>
        <w:tabs>
          <w:tab w:val="right" w:pos="9356"/>
        </w:tabs>
        <w:spacing w:after="0" w:line="240" w:lineRule="auto"/>
        <w:rPr>
          <w:sz w:val="24"/>
          <w:szCs w:val="24"/>
          <w:lang w:val="lv-LV"/>
        </w:rPr>
      </w:pPr>
      <w:r>
        <w:rPr>
          <w:sz w:val="24"/>
          <w:szCs w:val="24"/>
          <w:lang w:val="lv-LV"/>
        </w:rPr>
        <w:t>Direktors</w:t>
      </w:r>
      <w:r>
        <w:rPr>
          <w:sz w:val="24"/>
          <w:szCs w:val="24"/>
          <w:lang w:val="lv-LV"/>
        </w:rPr>
        <w:tab/>
        <w:t>A. Batalauskis</w:t>
      </w:r>
    </w:p>
    <w:p w14:paraId="53B1A460" w14:textId="77777777" w:rsidR="00BB6C14" w:rsidRDefault="00BB6C14">
      <w:pPr>
        <w:pStyle w:val="Bezatstarpm2"/>
        <w:jc w:val="both"/>
        <w:rPr>
          <w:rFonts w:ascii="Times New Roman" w:hAnsi="Times New Roman"/>
          <w:color w:val="000000"/>
          <w:sz w:val="24"/>
          <w:szCs w:val="24"/>
          <w:lang w:val="lv-LV"/>
        </w:rPr>
      </w:pPr>
    </w:p>
    <w:p w14:paraId="53B1A461" w14:textId="77777777" w:rsidR="00BB6C14" w:rsidRDefault="00BB6C14">
      <w:pPr>
        <w:pStyle w:val="Bezatstarpm2"/>
        <w:jc w:val="both"/>
        <w:rPr>
          <w:rFonts w:ascii="Times New Roman" w:hAnsi="Times New Roman"/>
          <w:color w:val="000000"/>
          <w:sz w:val="24"/>
          <w:szCs w:val="24"/>
          <w:lang w:val="lv-LV"/>
        </w:rPr>
      </w:pPr>
    </w:p>
    <w:p w14:paraId="53B1A462" w14:textId="77777777" w:rsidR="00BB6C14" w:rsidRDefault="00507FC2">
      <w:pPr>
        <w:pStyle w:val="Bezatstarpm2"/>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Saskaņots a</w:t>
      </w:r>
      <w:r>
        <w:rPr>
          <w:rFonts w:ascii="Times New Roman" w:eastAsia="Times New Roman" w:hAnsi="Times New Roman"/>
          <w:color w:val="000000"/>
          <w:sz w:val="24"/>
          <w:szCs w:val="24"/>
          <w:lang w:val="lv-LV"/>
        </w:rPr>
        <w:t>r Tieslietu ministriju</w:t>
      </w:r>
      <w:r>
        <w:rPr>
          <w:rFonts w:ascii="Times New Roman" w:eastAsia="Times New Roman" w:hAnsi="Times New Roman"/>
          <w:sz w:val="24"/>
          <w:szCs w:val="24"/>
          <w:lang w:val="lv-LV"/>
        </w:rPr>
        <w:t xml:space="preserve"> 2026. gada 15. jūnijā (atzinums Nr. 1-14.6/2077).</w:t>
      </w:r>
    </w:p>
    <w:p w14:paraId="53B1A463" w14:textId="77777777" w:rsidR="00BB6C14" w:rsidRDefault="00BB6C14">
      <w:pPr>
        <w:pStyle w:val="Bezatstarpm2"/>
        <w:jc w:val="both"/>
        <w:rPr>
          <w:rFonts w:ascii="Times New Roman" w:hAnsi="Times New Roman"/>
          <w:color w:val="000000"/>
          <w:sz w:val="24"/>
          <w:szCs w:val="24"/>
          <w:lang w:val="lv-LV"/>
        </w:rPr>
      </w:pPr>
    </w:p>
    <w:p w14:paraId="53B1A464" w14:textId="77777777" w:rsidR="00BB6C14" w:rsidRDefault="00BB6C14">
      <w:pPr>
        <w:pStyle w:val="Bezatstarpm2"/>
        <w:rPr>
          <w:rFonts w:ascii="Times New Roman" w:hAnsi="Times New Roman"/>
          <w:color w:val="000000"/>
          <w:sz w:val="24"/>
          <w:szCs w:val="24"/>
          <w:lang w:val="lv-LV"/>
        </w:rPr>
      </w:pPr>
    </w:p>
    <w:p w14:paraId="53B1A465" w14:textId="77777777" w:rsidR="00BB6C14" w:rsidRDefault="00BB6C14">
      <w:pPr>
        <w:pStyle w:val="Bezatstarpm2"/>
        <w:rPr>
          <w:rFonts w:ascii="Times New Roman" w:hAnsi="Times New Roman"/>
          <w:color w:val="000000"/>
          <w:sz w:val="24"/>
          <w:szCs w:val="24"/>
          <w:lang w:val="lv-LV"/>
        </w:rPr>
      </w:pPr>
    </w:p>
    <w:p w14:paraId="53B1A466" w14:textId="77777777" w:rsidR="00BB6C14" w:rsidRDefault="00507FC2">
      <w:pPr>
        <w:pStyle w:val="Bezatstarpm2"/>
        <w:rPr>
          <w:rFonts w:ascii="Times New Roman" w:hAnsi="Times New Roman"/>
          <w:i/>
          <w:iCs/>
          <w:color w:val="000000"/>
          <w:sz w:val="20"/>
          <w:szCs w:val="20"/>
          <w:lang w:val="lv-LV"/>
        </w:rPr>
      </w:pPr>
      <w:r>
        <w:rPr>
          <w:rFonts w:ascii="Times New Roman" w:hAnsi="Times New Roman"/>
          <w:i/>
          <w:iCs/>
          <w:color w:val="000000"/>
          <w:sz w:val="20"/>
          <w:szCs w:val="20"/>
          <w:lang w:val="lv-LV"/>
        </w:rPr>
        <w:t>Velpe 67099660</w:t>
      </w:r>
    </w:p>
    <w:p w14:paraId="53B1A467" w14:textId="77777777" w:rsidR="00BB6C14" w:rsidRDefault="00507FC2">
      <w:pPr>
        <w:spacing w:after="0" w:line="240" w:lineRule="auto"/>
      </w:pPr>
      <w:r>
        <w:rPr>
          <w:i/>
          <w:iCs/>
          <w:color w:val="000000"/>
          <w:szCs w:val="20"/>
        </w:rPr>
        <w:t>Zommere 67099604</w:t>
      </w:r>
    </w:p>
    <w:p w14:paraId="53B1A468" w14:textId="77777777" w:rsidR="00BB6C14" w:rsidRDefault="00BB6C14">
      <w:pPr>
        <w:rPr>
          <w:lang w:val="lv-LV"/>
        </w:rPr>
      </w:pPr>
    </w:p>
    <w:sectPr w:rsidR="00BB6C14">
      <w:footerReference w:type="default" r:id="rId8"/>
      <w:headerReference w:type="first" r:id="rId9"/>
      <w:type w:val="continuous"/>
      <w:pgSz w:w="11920" w:h="16840"/>
      <w:pgMar w:top="1134" w:right="1288"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C023" w14:textId="77777777" w:rsidR="00507FC2" w:rsidRDefault="00507FC2">
      <w:pPr>
        <w:spacing w:after="0" w:line="240" w:lineRule="auto"/>
      </w:pPr>
      <w:r>
        <w:separator/>
      </w:r>
    </w:p>
  </w:endnote>
  <w:endnote w:type="continuationSeparator" w:id="0">
    <w:p w14:paraId="193716D6" w14:textId="77777777" w:rsidR="00507FC2" w:rsidRDefault="0050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86"/>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86"/>
    <w:family w:val="swiss"/>
    <w:pitch w:val="variable"/>
    <w:sig w:usb0="A00006FF" w:usb1="4000205B" w:usb2="00000010" w:usb3="00000000" w:csb0="0000019F" w:csb1="00000000"/>
  </w:font>
  <w:font w:name="Tahoma">
    <w:panose1 w:val="020B0604030504040204"/>
    <w:charset w:val="86"/>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97218"/>
      <w:docPartObj>
        <w:docPartGallery w:val="Page Numbers (Bottom of Page)"/>
        <w:docPartUnique/>
      </w:docPartObj>
    </w:sdtPr>
    <w:sdtEndPr/>
    <w:sdtContent>
      <w:p w14:paraId="53B1A469" w14:textId="77777777" w:rsidR="00BB6C14" w:rsidRDefault="00507FC2">
        <w:pPr>
          <w:pStyle w:val="Kjene"/>
          <w:jc w:val="center"/>
        </w:pPr>
        <w:r>
          <w:fldChar w:fldCharType="begin"/>
        </w:r>
        <w:r>
          <w:instrText>PAGE   \* MERGEFORMAT</w:instrText>
        </w:r>
        <w:r>
          <w:fldChar w:fldCharType="separate"/>
        </w:r>
        <w:r>
          <w:rPr>
            <w:lang w:val="lv-LV"/>
          </w:rPr>
          <w:t>5</w:t>
        </w:r>
        <w:r>
          <w:fldChar w:fldCharType="end"/>
        </w:r>
      </w:p>
    </w:sdtContent>
  </w:sdt>
  <w:p w14:paraId="53B1A46A" w14:textId="77777777" w:rsidR="00BB6C14" w:rsidRDefault="00BB6C1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5CF6" w14:textId="77777777" w:rsidR="00507FC2" w:rsidRDefault="00507FC2">
      <w:pPr>
        <w:spacing w:after="0" w:line="240" w:lineRule="auto"/>
      </w:pPr>
      <w:r>
        <w:separator/>
      </w:r>
    </w:p>
  </w:footnote>
  <w:footnote w:type="continuationSeparator" w:id="0">
    <w:p w14:paraId="50C95AC6" w14:textId="77777777" w:rsidR="00507FC2" w:rsidRDefault="00507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A46B" w14:textId="77777777" w:rsidR="00BB6C14" w:rsidRDefault="00BB6C14">
    <w:pPr>
      <w:pStyle w:val="Galvene"/>
    </w:pPr>
  </w:p>
  <w:p w14:paraId="53B1A46C" w14:textId="77777777" w:rsidR="00BB6C14" w:rsidRDefault="00BB6C14">
    <w:pPr>
      <w:pStyle w:val="Galvene"/>
    </w:pPr>
  </w:p>
  <w:p w14:paraId="53B1A46D" w14:textId="77777777" w:rsidR="00BB6C14" w:rsidRDefault="00507FC2">
    <w:pPr>
      <w:pStyle w:val="Galvene"/>
    </w:pPr>
    <w:r>
      <w:rPr>
        <w:noProof/>
      </w:rPr>
      <w:drawing>
        <wp:inline distT="0" distB="0" distL="0" distR="0" wp14:anchorId="53B1A471" wp14:editId="53B1A472">
          <wp:extent cx="5671185" cy="1037471"/>
          <wp:effectExtent l="0" t="0" r="5715" b="0"/>
          <wp:docPr id="1064" name="Attēls 1" descr="Attēls, kurā ir simbols, zīmotn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671185" cy="1037471"/>
                  </a:xfrm>
                  <a:prstGeom prst="rect">
                    <a:avLst/>
                  </a:prstGeom>
                </pic:spPr>
              </pic:pic>
            </a:graphicData>
          </a:graphic>
        </wp:inline>
      </w:drawing>
    </w:r>
  </w:p>
  <w:p w14:paraId="53B1A46E" w14:textId="77777777" w:rsidR="00BB6C14" w:rsidRDefault="00BB6C14">
    <w:pPr>
      <w:pStyle w:val="Galvene"/>
    </w:pPr>
  </w:p>
  <w:p w14:paraId="53B1A46F" w14:textId="77777777" w:rsidR="00BB6C14" w:rsidRDefault="00507FC2">
    <w:pPr>
      <w:pStyle w:val="Galvene"/>
    </w:pPr>
    <w:r>
      <w:rPr>
        <w:rFonts w:ascii="Calibri" w:hAnsi="Calibri"/>
        <w:noProof/>
        <w:lang w:val="lv-LV" w:eastAsia="lv-LV"/>
      </w:rPr>
      <mc:AlternateContent>
        <mc:Choice Requires="wps">
          <w:drawing>
            <wp:anchor distT="0" distB="0" distL="114300" distR="114300" simplePos="0" relativeHeight="251658752" behindDoc="1" locked="0" layoutInCell="1" allowOverlap="1" wp14:anchorId="53B1A473" wp14:editId="53B1A474">
              <wp:simplePos x="0" y="0"/>
              <wp:positionH relativeFrom="page">
                <wp:posOffset>1171575</wp:posOffset>
              </wp:positionH>
              <wp:positionV relativeFrom="page">
                <wp:posOffset>2030730</wp:posOffset>
              </wp:positionV>
              <wp:extent cx="5838825" cy="314325"/>
              <wp:effectExtent l="0" t="0" r="0" b="0"/>
              <wp:wrapNone/>
              <wp:docPr id="1065" name="Text Box 43">
                <a:extLst xmlns:a="http://schemas.openxmlformats.org/drawingml/2006/main">
                  <a:ext uri="{909E8E84-426E-40DD-AFC4-6F175D3DCCD1}">
                    <a14:hiddenFill xmlns:a14="http://schemas.microsoft.com/office/drawing/2010/main" xmlns:w="http://schemas.openxmlformats.org/wordprocessingml/2006/main" xmlns:pic="http://schemas.openxmlformats.org/drawingml/2006/picture" xmlns:ve="http://schemas.openxmlformats.org/markup-compatibility/2006" xmlns:o="urn:schemas-microsoft-com:office:office" xmlns:w10="urn:schemas-microsoft-com:office:word" xmlns:v="urn:schemas-microsoft-com:vml" xmlns="">
                      <a:solidFill>
                        <a:srgbClr val="FFFFFF"/>
                      </a:solidFill>
                    </a14:hiddenFill>
                  </a:ext>
                  <a:ext uri="{91240B29-F687-4F45-9708-019B960494DF}">
                    <a14:hiddenLine xmlns:a14="http://schemas.microsoft.com/office/drawing/2010/main" xmlns:w="http://schemas.openxmlformats.org/wordprocessingml/2006/main" xmlns:pic="http://schemas.openxmlformats.org/drawingml/2006/picture" xmlns:ve="http://schemas.openxmlformats.org/markup-compatibility/2006" xmlns:o="urn:schemas-microsoft-com:office:office" xmlns:w10="urn:schemas-microsoft-com:office:word" xmlns:v="urn:schemas-microsoft-com:vml" xmlns="" w="9525">
                      <a:solidFill>
                        <a:srgbClr val="000000"/>
                      </a:solidFill>
                      <a:miter lim="800000"/>
                      <a:headEnd/>
                      <a:tailEnd/>
                    </a14:hiddenLine>
                  </a:ext>
                </a:extLst>
              </wp:docPr>
              <wp:cNvGraphicFramePr/>
              <a:graphic xmlns:a="http://schemas.openxmlformats.org/drawingml/2006/main">
                <a:graphicData uri="http://schemas.microsoft.com/office/word/2010/wordprocessingShape">
                  <wps:wsp>
                    <wps:cNvSpPr/>
                    <wps:spPr>
                      <a:xfrm>
                        <a:off x="0" y="0"/>
                        <a:ext cx="5838825" cy="314325"/>
                      </a:xfrm>
                      <a:prstGeom prst="rect">
                        <a:avLst/>
                      </a:prstGeom>
                      <a:noFill/>
                      <a:ln cap="flat" cmpd="sng">
                        <a:prstDash val="solid"/>
                        <a:rou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1A477" w14:textId="77777777" w:rsidR="00BB6C14" w:rsidRDefault="00507FC2">
                          <w:pPr>
                            <w:spacing w:after="0" w:line="194" w:lineRule="exact"/>
                            <w:ind w:left="20" w:right="-45"/>
                            <w:jc w:val="center"/>
                            <w:rPr>
                              <w:rFonts w:eastAsia="Times New Roman"/>
                              <w:sz w:val="17"/>
                              <w:szCs w:val="17"/>
                              <w:lang w:val="es-ES"/>
                            </w:rPr>
                          </w:pPr>
                          <w:r>
                            <w:rPr>
                              <w:rFonts w:eastAsia="Times New Roman"/>
                              <w:color w:val="231F20"/>
                              <w:sz w:val="17"/>
                              <w:szCs w:val="17"/>
                              <w:lang w:val="es-ES"/>
                            </w:rPr>
                            <w:t>Citadeles iela 6A, Rīga, LV-1010, tālr. 67099600, e-pasts pasts@lrpv.gov.lv, www.lrpv.gov.lv</w:t>
                          </w:r>
                        </w:p>
                        <w:p w14:paraId="53B1A478" w14:textId="77777777" w:rsidR="00BB6C14" w:rsidRDefault="00BB6C14">
                          <w:pPr>
                            <w:spacing w:after="0" w:line="194" w:lineRule="exact"/>
                            <w:ind w:left="20" w:right="-45"/>
                            <w:jc w:val="center"/>
                            <w:rPr>
                              <w:rFonts w:eastAsia="Times New Roman"/>
                              <w:sz w:val="17"/>
                              <w:szCs w:val="17"/>
                              <w:lang w:val="es-ES"/>
                            </w:rPr>
                          </w:pPr>
                        </w:p>
                      </w:txbxContent>
                    </wps:txbx>
                    <wps:bodyPr rot="0" spcFirstLastPara="0" vertOverflow="overflow" horzOverflow="overflow" vert="horz" wrap="square" lIns="0" tIns="0" rIns="0" bIns="0" numCol="1" spcCol="0" rtlCol="0" fromWordArt="0" anchor="t" anchorCtr="0" forceAA="0" upright="1" compatLnSpc="1">
                      <a:noAutofit/>
                    </wps:bodyPr>
                  </wps:wsp>
                </a:graphicData>
              </a:graphic>
              <wp14:sizeRelH relativeFrom="page">
                <wp14:pctWidth>0</wp14:pctWidth>
              </wp14:sizeRelH>
              <wp14:sizeRelV relativeFrom="page">
                <wp14:pctHeight>0</wp14:pctHeight>
              </wp14:sizeRelV>
            </wp:anchor>
          </w:drawing>
        </mc:Choice>
        <ve:Fallback xmlns:pic="http://schemas.openxmlformats.org/drawingml/2006/picture" xmlns:a="http://schemas.openxmlformats.org/drawingml/2006/main" xmlns:ve="http://schemas.openxmlformats.org/markup-compatibility/2006">
          <w:pict>
            <v:shape id="Text Box 43" type="#_x0000_t202" style="position:absolute;margin-left:92.25pt;margin-top:159.9pt;width:459.75pt;height:24.75pt;z-index:-251658752;mso-position-horizontal-relative:page;mso-position-vertical-relative:page;v-text-anchor:top;mso-wrap-distance-left:9pt;mso-wrap-distance-top:0pt;mso-wrap-distance-right:9pt;mso-wrap-distance-bottom:0pt;mso-wrap-style:square;position:absolute;position:absolute;position:absolute;position:absolute;position:absolute;position:absolute;position:absolute;position:absolute;position:absolute;position:absolute;position:absolute;position:absolute;position:absolute;position:absolute;position:absolute;position:absolute;position:absolute" filled="f" strokecolor="#000000" strokeweight="0.75pt" stroked="f">
              <v:textbox style="" inset="0pt,0pt,0pt,0pt">
                <w:txbxContent>
                  <w:p>
                    <w:pPr>
                      <w:pBdr/>
                      <w:spacing w:after="0" w:line="194" w:lineRule="exact"/>
                      <w:ind w:left="20" w:right="-45"/>
                      <w:jc w:val="center"/>
                      <w:rPr>
                        <w:rFonts w:eastAsia="Times New Roman"/>
                        <w:sz w:val="17"/>
                        <w:szCs w:val="17"/>
                        <w:lang w:val="es-ES"/>
                      </w:rPr>
                    </w:pPr>
                    <w:r>
                      <w:rPr>
                        <w:rFonts w:eastAsia="Times New Roman"/>
                        <w:color w:val="231F20"/>
                        <w:sz w:val="17"/>
                        <w:szCs w:val="17"/>
                        <w:lang w:val="es-ES"/>
                      </w:rPr>
                      <w:t xml:space="preserve">Citadeles iela 6A, Rīga, LV-1010, tālr. 67099600, e-pasts pasts@lrpv.gov.lv, www.lrpv.gov.lv</w:t>
                    </w:r>
                  </w:p>
                  <w:p>
                    <w:pPr>
                      <w:pBdr/>
                      <w:spacing w:after="0" w:line="194" w:lineRule="exact"/>
                      <w:ind w:left="20" w:right="-45"/>
                      <w:jc w:val="center"/>
                      <w:rPr>
                        <w:rFonts w:eastAsia="Times New Roman"/>
                        <w:sz w:val="17"/>
                        <w:szCs w:val="17"/>
                        <w:lang w:val="es-ES"/>
                      </w:rPr>
                    </w:pPr>
                  </w:p>
                </w:txbxContent>
              </v:textbox>
            </v:shape>
          </w:pict>
        </ve:Fallback>
      </mc:AlternateContent>
    </w:r>
    <w:r>
      <w:rPr>
        <w:rFonts w:ascii="Calibri" w:hAnsi="Calibri"/>
        <w:noProof/>
        <w:lang w:val="lv-LV" w:eastAsia="lv-LV"/>
      </w:rPr>
      <mc:AlternateContent>
        <mc:Choice Requires="wps">
          <w:drawing>
            <wp:anchor distT="0" distB="0" distL="114300" distR="114300" simplePos="0" relativeHeight="251657728" behindDoc="1" locked="0" layoutInCell="1" allowOverlap="1" wp14:anchorId="53B1A475" wp14:editId="53B1A476">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1025" name="Freeform 42">
                        <a:extLst>
                          <a:ext uri="{909E8E84-426E-40DD-AFC4-6F175D3DCCD1}">
                            <a14:hiddenFill xmlns:a14="http://schemas.microsoft.com/office/drawing/2010/main" xmlns:w="http://schemas.openxmlformats.org/wordprocessingml/2006/main" xmlns:pic="http://schemas.openxmlformats.org/drawingml/2006/picture" xmlns:ve="http://schemas.openxmlformats.org/markup-compatibility/2006" xmlns:o="urn:schemas-microsoft-com:office:office" xmlns:w10="urn:schemas-microsoft-com:office:word" xmlns:v="urn:schemas-microsoft-com:vml" xmlns="">
                              <a:solidFill>
                                <a:srgbClr val="FFFFFF"/>
                              </a:solidFill>
                            </a14:hiddenFill>
                          </a:ext>
                        </a:extLst>
                      </wps:cNvPr>
                      <wps:cNvSpPr/>
                      <wps:spPr>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h="2">
                              <a:moveTo>
                                <a:pt x="0" y="0"/>
                              </a:moveTo>
                              <a:lnTo>
                                <a:pt x="6926" y="0"/>
                              </a:lnTo>
                            </a:path>
                          </a:pathLst>
                        </a:custGeom>
                        <a:noFill/>
                        <a:ln w="3175" cap="flat" cmpd="sng">
                          <a:solidFill>
                            <a:srgbClr val="231F20">
                              <a:alpha val="100000"/>
                            </a:srgbClr>
                          </a:solidFill>
                          <a:prstDash val="soli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ve:Fallback xmlns:pic="http://schemas.openxmlformats.org/drawingml/2006/picture" xmlns:a="http://schemas.openxmlformats.org/drawingml/2006/main" xmlns:ve="http://schemas.openxmlformats.org/markup-compatibility/2006">
          <w:pict>
            <v:group id="Group 41" style="position:absolute;;margin-left:145.7pt;margin-top:149.85pt;width:346.25pt;height:0.1pt;z-index:251657728;mso-position-horizontal-relative:page;mso-position-vertical-relative:page;mso-wrap-distance-left:9pt;mso-wrap-distance-top:0pt;mso-wrap-distance-right:9pt;mso-wrap-distance-bottom:0pt;" coordorigin="0,0">
              <v:shape id="Freeform 42" style="position:absolute;;width:0.5453543;height:0.0001574803;;v-text-anchor:top" filled="f" strokecolor="#231F20" strokeweight="0.25pt">
                <v:stroke dashstyle="solid" linestyle="single" joinstyle="miter" endcap="flat" color2="#231F20"/>
              </v:shape>
            </v:group>
          </w:pict>
        </ve:Fallback>
      </mc:AlternateContent>
    </w:r>
  </w:p>
  <w:p w14:paraId="53B1A470" w14:textId="77777777" w:rsidR="00BB6C14" w:rsidRDefault="00BB6C1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6305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7724240C"/>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multilevel"/>
    <w:tmpl w:val="8EB63E8C"/>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E"/>
    <w:multiLevelType w:val="multilevel"/>
    <w:tmpl w:val="9A0C3290"/>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F"/>
    <w:multiLevelType w:val="multilevel"/>
    <w:tmpl w:val="A7AAB63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multilevel"/>
    <w:tmpl w:val="F496C846"/>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1"/>
    <w:multiLevelType w:val="multilevel"/>
    <w:tmpl w:val="A95A7068"/>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2"/>
    <w:multiLevelType w:val="multilevel"/>
    <w:tmpl w:val="E920226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3"/>
    <w:multiLevelType w:val="multilevel"/>
    <w:tmpl w:val="DFD0BCB6"/>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8"/>
    <w:multiLevelType w:val="multilevel"/>
    <w:tmpl w:val="B03A32B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89"/>
    <w:multiLevelType w:val="multilevel"/>
    <w:tmpl w:val="10FCE11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8813807">
    <w:abstractNumId w:val="0"/>
  </w:num>
  <w:num w:numId="2" w16cid:durableId="25258884">
    <w:abstractNumId w:val="1"/>
  </w:num>
  <w:num w:numId="3" w16cid:durableId="147788245">
    <w:abstractNumId w:val="2"/>
  </w:num>
  <w:num w:numId="4" w16cid:durableId="508907537">
    <w:abstractNumId w:val="3"/>
  </w:num>
  <w:num w:numId="5" w16cid:durableId="1445032012">
    <w:abstractNumId w:val="4"/>
  </w:num>
  <w:num w:numId="6" w16cid:durableId="1825006754">
    <w:abstractNumId w:val="5"/>
  </w:num>
  <w:num w:numId="7" w16cid:durableId="645744433">
    <w:abstractNumId w:val="6"/>
  </w:num>
  <w:num w:numId="8" w16cid:durableId="1454666660">
    <w:abstractNumId w:val="7"/>
  </w:num>
  <w:num w:numId="9" w16cid:durableId="770901990">
    <w:abstractNumId w:val="8"/>
  </w:num>
  <w:num w:numId="10" w16cid:durableId="652874871">
    <w:abstractNumId w:val="9"/>
  </w:num>
  <w:num w:numId="11" w16cid:durableId="588386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14"/>
    <w:rsid w:val="0026327C"/>
    <w:rsid w:val="002E02C6"/>
    <w:rsid w:val="00507FC2"/>
    <w:rsid w:val="00BB6C1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A3DF"/>
  <w15:docId w15:val="{B7F5CF1C-C2F7-48AF-B8C2-BC492C96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spacing w:after="200" w:line="276" w:lineRule="auto"/>
    </w:pPr>
    <w:rPr>
      <w:rFonts w:ascii="Times New Roman" w:hAnsi="Times New Roman"/>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unhideWhenUsed/>
    <w:pPr>
      <w:tabs>
        <w:tab w:val="center" w:pos="4320"/>
        <w:tab w:val="right" w:pos="8640"/>
      </w:tabs>
      <w:spacing w:after="0" w:line="240" w:lineRule="auto"/>
    </w:pPr>
  </w:style>
  <w:style w:type="character" w:customStyle="1" w:styleId="GalveneRakstz">
    <w:name w:val="Galvene Rakstz."/>
    <w:basedOn w:val="Noklusjumarindkopasfonts"/>
  </w:style>
  <w:style w:type="paragraph" w:styleId="Kjene">
    <w:name w:val="footer"/>
    <w:basedOn w:val="Parasts"/>
    <w:uiPriority w:val="99"/>
    <w:unhideWhenUsed/>
    <w:pPr>
      <w:tabs>
        <w:tab w:val="center" w:pos="4320"/>
        <w:tab w:val="right" w:pos="8640"/>
      </w:tabs>
      <w:spacing w:after="0" w:line="240" w:lineRule="auto"/>
    </w:pPr>
  </w:style>
  <w:style w:type="character" w:customStyle="1" w:styleId="KjeneRakstz">
    <w:name w:val="Kājene Rakstz."/>
    <w:basedOn w:val="Noklusjumarindkopasfonts"/>
    <w:uiPriority w:val="99"/>
  </w:style>
  <w:style w:type="character" w:customStyle="1" w:styleId="body1">
    <w:name w:val="body1"/>
    <w:basedOn w:val="Noklusjumarindkopasfonts"/>
    <w:rPr>
      <w:rFonts w:ascii="Verdana" w:hAnsi="Verdana" w:hint="default"/>
      <w:color w:val="000000"/>
      <w:sz w:val="14"/>
      <w:szCs w:val="14"/>
    </w:rPr>
  </w:style>
  <w:style w:type="character" w:styleId="Hipersaite">
    <w:name w:val="Hyperlink"/>
    <w:basedOn w:val="Noklusjumarindkopasfonts"/>
    <w:uiPriority w:val="99"/>
    <w:unhideWhenUsed/>
    <w:rPr>
      <w:color w:val="0000FF"/>
      <w:u w:val="single"/>
    </w:rPr>
  </w:style>
  <w:style w:type="paragraph" w:styleId="Vienkrsteksts">
    <w:name w:val="Plain Text"/>
    <w:basedOn w:val="Parasts"/>
    <w:uiPriority w:val="99"/>
    <w:semiHidden/>
    <w:unhideWhenUsed/>
    <w:pPr>
      <w:widowControl/>
      <w:spacing w:after="0" w:line="240" w:lineRule="auto"/>
    </w:pPr>
    <w:rPr>
      <w:szCs w:val="21"/>
      <w:lang w:val="lv-LV"/>
    </w:rPr>
  </w:style>
  <w:style w:type="character" w:customStyle="1" w:styleId="VienkrstekstsRakstz">
    <w:name w:val="Vienkāršs teksts Rakstz."/>
    <w:basedOn w:val="Noklusjumarindkopasfonts"/>
    <w:uiPriority w:val="99"/>
    <w:semiHidden/>
    <w:rPr>
      <w:rFonts w:ascii="Calibri" w:eastAsia="Calibri" w:hAnsi="Calibri" w:cs="Times New Roman"/>
      <w:szCs w:val="21"/>
      <w:lang w:val="lv-LV"/>
    </w:rPr>
  </w:style>
  <w:style w:type="paragraph" w:styleId="Balonteksts">
    <w:name w:val="Balloon Text"/>
    <w:basedOn w:val="Parasts"/>
    <w:uiPriority w:val="99"/>
    <w:semiHidden/>
    <w:unhideWhenUsed/>
    <w:pPr>
      <w:spacing w:after="0" w:line="240" w:lineRule="auto"/>
    </w:pPr>
    <w:rPr>
      <w:rFonts w:ascii="Tahoma" w:hAnsi="Tahoma" w:cs="Tahoma"/>
      <w:sz w:val="16"/>
      <w:szCs w:val="16"/>
    </w:rPr>
  </w:style>
  <w:style w:type="character" w:customStyle="1" w:styleId="BalontekstsRakstz">
    <w:name w:val="Balonteksts Rakstz."/>
    <w:basedOn w:val="Noklusjumarindkopasfonts"/>
    <w:uiPriority w:val="99"/>
    <w:semiHidden/>
    <w:rPr>
      <w:rFonts w:ascii="Tahoma" w:hAnsi="Tahoma" w:cs="Tahoma"/>
      <w:sz w:val="16"/>
      <w:szCs w:val="16"/>
    </w:rPr>
  </w:style>
  <w:style w:type="table" w:styleId="Reatabula">
    <w:name w:val="Table Grid"/>
    <w:basedOn w:val="Parastatabula"/>
    <w:uiPriority w:val="59"/>
    <w:rPr>
      <w:lang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1"/>
    <w:qFormat/>
    <w:pPr>
      <w:widowControl w:val="0"/>
    </w:pPr>
    <w:rPr>
      <w:sz w:val="22"/>
      <w:szCs w:val="22"/>
      <w:lang w:val="en-US" w:eastAsia="en-US"/>
    </w:rPr>
  </w:style>
  <w:style w:type="paragraph" w:customStyle="1" w:styleId="Bezatstarpm2">
    <w:name w:val="Bez atstarpēm2"/>
    <w:uiPriority w:val="99"/>
    <w:qFormat/>
    <w:pPr>
      <w:widowControl w:val="0"/>
    </w:pPr>
    <w:rPr>
      <w:sz w:val="22"/>
      <w:szCs w:val="22"/>
      <w:lang w:val="en-US" w:eastAsia="en-US"/>
    </w:rPr>
  </w:style>
  <w:style w:type="paragraph" w:styleId="Pamatteksts">
    <w:name w:val="Body Text"/>
    <w:basedOn w:val="Parasts"/>
    <w:uiPriority w:val="99"/>
    <w:pPr>
      <w:widowControl/>
      <w:spacing w:after="0" w:line="240" w:lineRule="auto"/>
      <w:jc w:val="center"/>
    </w:pPr>
    <w:rPr>
      <w:rFonts w:eastAsia="Times New Roman"/>
      <w:sz w:val="28"/>
      <w:szCs w:val="28"/>
      <w:lang w:val="lv-LV"/>
    </w:rPr>
  </w:style>
  <w:style w:type="character" w:customStyle="1" w:styleId="PamattekstsRakstz">
    <w:name w:val="Pamatteksts Rakstz."/>
    <w:basedOn w:val="Noklusjumarindkopasfonts"/>
    <w:uiPriority w:val="99"/>
    <w:rPr>
      <w:rFonts w:ascii="Times New Roman" w:eastAsia="Times New Roman" w:hAnsi="Times New Roman"/>
      <w:sz w:val="28"/>
      <w:szCs w:val="28"/>
      <w:lang w:eastAsia="en-US"/>
    </w:rPr>
  </w:style>
  <w:style w:type="character" w:customStyle="1" w:styleId="normaltextrun">
    <w:name w:val="normaltextrun"/>
    <w:basedOn w:val="Noklusjumarindkopasfonts"/>
  </w:style>
  <w:style w:type="paragraph" w:styleId="Paraststmeklis">
    <w:name w:val="Normal (Web)"/>
    <w:basedOn w:val="Parasts"/>
    <w:uiPriority w:val="99"/>
    <w:unhideWhenUsed/>
    <w:pPr>
      <w:widowControl/>
      <w:spacing w:before="100" w:beforeAutospacing="1" w:after="100" w:afterAutospacing="1" w:line="240" w:lineRule="auto"/>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06403C9EF9F9A41BAB599FE2091A2E8" ma:contentTypeVersion="18" ma:contentTypeDescription="Izveidot jaunu dokumentu." ma:contentTypeScope="" ma:versionID="e80483f1744bfffb4582886febaab434">
  <xsd:schema xmlns:xsd="http://www.w3.org/2001/XMLSchema" xmlns:xs="http://www.w3.org/2001/XMLSchema" xmlns:p="http://schemas.microsoft.com/office/2006/metadata/properties" xmlns:ns2="dedbf918-5459-4e67-a311-416d3d367d93" xmlns:ns3="f52a3cfe-5bd0-4921-94ab-c4df0b74d531" targetNamespace="http://schemas.microsoft.com/office/2006/metadata/properties" ma:root="true" ma:fieldsID="74717120a759412fd64bd2e1ba4a7b04" ns2:_="" ns3:_="">
    <xsd:import namespace="dedbf918-5459-4e67-a311-416d3d367d93"/>
    <xsd:import namespace="f52a3cfe-5bd0-4921-94ab-c4df0b74d5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f918-5459-4e67-a311-416d3d367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a3cfe-5bd0-4921-94ab-c4df0b74d531"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0ee614a-4876-4e49-b0e0-572ea6053610}" ma:internalName="TaxCatchAll" ma:showField="CatchAllData" ma:web="f52a3cfe-5bd0-4921-94ab-c4df0b74d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2a3cfe-5bd0-4921-94ab-c4df0b74d531" xsi:nil="true"/>
    <lcf76f155ced4ddcb4097134ff3c332f xmlns="dedbf918-5459-4e67-a311-416d3d367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165648-008F-45A8-AAA1-67FAD0237628}">
  <ds:schemaRefs>
    <ds:schemaRef ds:uri="http://schemas.openxmlformats.org/officeDocument/2006/bibliography"/>
  </ds:schemaRefs>
</ds:datastoreItem>
</file>

<file path=customXml/itemProps2.xml><?xml version="1.0" encoding="utf-8"?>
<ds:datastoreItem xmlns:ds="http://schemas.openxmlformats.org/officeDocument/2006/customXml" ds:itemID="{16BD3C19-556B-4857-AF48-731ABC6B6675}"/>
</file>

<file path=customXml/itemProps3.xml><?xml version="1.0" encoding="utf-8"?>
<ds:datastoreItem xmlns:ds="http://schemas.openxmlformats.org/officeDocument/2006/customXml" ds:itemID="{3D799EA2-3098-4D3C-94DF-117968AE42B7}"/>
</file>

<file path=customXml/itemProps4.xml><?xml version="1.0" encoding="utf-8"?>
<ds:datastoreItem xmlns:ds="http://schemas.openxmlformats.org/officeDocument/2006/customXml" ds:itemID="{0B95AF81-5F8B-457D-A12C-07A0856CBCE9}"/>
</file>

<file path=docProps/app.xml><?xml version="1.0" encoding="utf-8"?>
<Properties xmlns="http://schemas.openxmlformats.org/officeDocument/2006/extended-properties" xmlns:vt="http://schemas.openxmlformats.org/officeDocument/2006/docPropsVTypes">
  <Template>Normal</Template>
  <TotalTime>2</TotalTime>
  <Pages>4</Pages>
  <Words>5784</Words>
  <Characters>3298</Characters>
  <Application>Microsoft Office Word</Application>
  <DocSecurity>0</DocSecurity>
  <Lines>27</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Inguna Gruntiņa</cp:lastModifiedBy>
  <cp:revision>2</cp:revision>
  <dcterms:created xsi:type="dcterms:W3CDTF">2026-07-01T07:09:00Z</dcterms:created>
  <dcterms:modified xsi:type="dcterms:W3CDTF">2026-07-01T07:09:00Z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0x010100A06403C9EF9F9A41BAB599FE2091A2E8</vt:lpwstr>
  </property>
</Properties>
</file>